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B0DEED">
      <w:pPr>
        <w:jc w:val="center"/>
        <w:rPr>
          <w:rFonts w:ascii="仿宋_GB2312" w:eastAsia="仿宋_GB2312"/>
          <w:b/>
          <w:sz w:val="32"/>
          <w:szCs w:val="32"/>
        </w:rPr>
      </w:pPr>
    </w:p>
    <w:p w14:paraId="2AC2DFB9">
      <w:pPr>
        <w:jc w:val="center"/>
        <w:rPr>
          <w:rFonts w:ascii="黑体" w:eastAsia="黑体"/>
          <w:sz w:val="72"/>
          <w:szCs w:val="72"/>
        </w:rPr>
      </w:pPr>
    </w:p>
    <w:p w14:paraId="2FBA91DC">
      <w:pPr>
        <w:jc w:val="center"/>
        <w:rPr>
          <w:rFonts w:ascii="黑体" w:eastAsia="黑体"/>
          <w:sz w:val="72"/>
          <w:szCs w:val="72"/>
        </w:rPr>
      </w:pPr>
    </w:p>
    <w:p w14:paraId="7342C8CC">
      <w:pPr>
        <w:jc w:val="center"/>
        <w:rPr>
          <w:rFonts w:ascii="黑体" w:eastAsia="黑体"/>
          <w:sz w:val="72"/>
          <w:szCs w:val="72"/>
        </w:rPr>
      </w:pPr>
    </w:p>
    <w:p w14:paraId="2FF81902">
      <w:pPr>
        <w:jc w:val="center"/>
        <w:rPr>
          <w:rFonts w:ascii="黑体" w:eastAsia="黑体"/>
          <w:sz w:val="72"/>
          <w:szCs w:val="72"/>
        </w:rPr>
      </w:pPr>
    </w:p>
    <w:p w14:paraId="64489764">
      <w:pPr>
        <w:jc w:val="center"/>
        <w:rPr>
          <w:rFonts w:ascii="黑体" w:eastAsia="黑体"/>
          <w:sz w:val="72"/>
          <w:szCs w:val="72"/>
        </w:rPr>
      </w:pPr>
      <w:r>
        <w:rPr>
          <w:rFonts w:hint="eastAsia" w:ascii="黑体" w:eastAsia="黑体"/>
          <w:sz w:val="72"/>
          <w:szCs w:val="72"/>
        </w:rPr>
        <w:t>2024年度单位决算（公开</w:t>
      </w:r>
      <w:r>
        <w:rPr>
          <w:rFonts w:ascii="黑体" w:eastAsia="黑体"/>
          <w:sz w:val="72"/>
          <w:szCs w:val="72"/>
        </w:rPr>
        <w:t>）</w:t>
      </w:r>
    </w:p>
    <w:p w14:paraId="53AD0A12">
      <w:pPr>
        <w:jc w:val="center"/>
        <w:rPr>
          <w:rFonts w:ascii="黑体" w:eastAsia="黑体"/>
          <w:sz w:val="52"/>
          <w:szCs w:val="52"/>
        </w:rPr>
      </w:pPr>
    </w:p>
    <w:p w14:paraId="23F96C06">
      <w:pPr>
        <w:jc w:val="center"/>
        <w:rPr>
          <w:rFonts w:ascii="黑体" w:eastAsia="黑体"/>
          <w:sz w:val="52"/>
          <w:szCs w:val="52"/>
        </w:rPr>
      </w:pPr>
    </w:p>
    <w:p w14:paraId="6E7F70C7">
      <w:pPr>
        <w:jc w:val="center"/>
        <w:rPr>
          <w:rFonts w:ascii="黑体" w:eastAsia="黑体"/>
          <w:sz w:val="52"/>
          <w:szCs w:val="52"/>
        </w:rPr>
      </w:pPr>
    </w:p>
    <w:p w14:paraId="0CEF8026">
      <w:pPr>
        <w:jc w:val="center"/>
        <w:rPr>
          <w:rFonts w:ascii="黑体" w:eastAsia="黑体"/>
          <w:sz w:val="52"/>
          <w:szCs w:val="52"/>
        </w:rPr>
      </w:pPr>
    </w:p>
    <w:p w14:paraId="6639DD9C">
      <w:pPr>
        <w:jc w:val="center"/>
        <w:rPr>
          <w:rFonts w:ascii="黑体" w:eastAsia="黑体"/>
          <w:sz w:val="32"/>
          <w:szCs w:val="32"/>
        </w:rPr>
      </w:pPr>
    </w:p>
    <w:p w14:paraId="655EA654">
      <w:pPr>
        <w:spacing w:line="500" w:lineRule="exact"/>
        <w:ind w:firstLine="645"/>
        <w:jc w:val="center"/>
        <w:rPr>
          <w:rFonts w:ascii="宋体" w:hAnsi="宋体" w:cs="宋体"/>
          <w:b/>
          <w:bCs/>
          <w:kern w:val="0"/>
          <w:sz w:val="44"/>
          <w:szCs w:val="36"/>
        </w:rPr>
      </w:pPr>
      <w:r>
        <w:rPr>
          <w:rFonts w:hint="eastAsia" w:ascii="宋体" w:hAnsi="宋体" w:cs="宋体"/>
          <w:b/>
          <w:bCs/>
          <w:kern w:val="0"/>
          <w:sz w:val="44"/>
          <w:szCs w:val="36"/>
        </w:rPr>
        <w:t>目    录</w:t>
      </w:r>
    </w:p>
    <w:p w14:paraId="2CA613FA">
      <w:pPr>
        <w:spacing w:line="500" w:lineRule="exact"/>
        <w:ind w:firstLine="645"/>
        <w:jc w:val="center"/>
        <w:rPr>
          <w:rFonts w:ascii="宋体" w:hAnsi="宋体" w:cs="宋体"/>
          <w:b/>
          <w:bCs/>
          <w:kern w:val="0"/>
          <w:sz w:val="36"/>
          <w:szCs w:val="36"/>
        </w:rPr>
      </w:pPr>
    </w:p>
    <w:p w14:paraId="3E74D127">
      <w:pPr>
        <w:tabs>
          <w:tab w:val="center" w:pos="6979"/>
        </w:tabs>
        <w:spacing w:line="500" w:lineRule="exact"/>
        <w:ind w:firstLine="1600" w:firstLineChars="400"/>
        <w:jc w:val="left"/>
        <w:rPr>
          <w:rFonts w:ascii="宋体" w:hAnsi="宋体" w:cs="宋体"/>
          <w:bCs/>
          <w:spacing w:val="40"/>
          <w:kern w:val="0"/>
          <w:sz w:val="32"/>
          <w:szCs w:val="32"/>
        </w:rPr>
      </w:pPr>
      <w:r>
        <w:rPr>
          <w:rFonts w:hint="eastAsia" w:ascii="宋体" w:hAnsi="宋体" w:cs="宋体"/>
          <w:bCs/>
          <w:spacing w:val="40"/>
          <w:kern w:val="0"/>
          <w:sz w:val="32"/>
          <w:szCs w:val="32"/>
        </w:rPr>
        <w:t>第一部分 2024年度单位决算报表</w:t>
      </w:r>
    </w:p>
    <w:p w14:paraId="07EE2529">
      <w:pPr>
        <w:tabs>
          <w:tab w:val="center" w:pos="6979"/>
        </w:tabs>
        <w:spacing w:line="500" w:lineRule="exact"/>
        <w:ind w:firstLine="2400" w:firstLineChars="600"/>
        <w:jc w:val="left"/>
        <w:rPr>
          <w:rFonts w:ascii="仿宋_GB2312" w:hAnsi="仿宋" w:eastAsia="仿宋_GB2312"/>
          <w:spacing w:val="40"/>
          <w:sz w:val="32"/>
          <w:szCs w:val="32"/>
        </w:rPr>
      </w:pPr>
      <w:r>
        <w:rPr>
          <w:rFonts w:hint="eastAsia" w:ascii="仿宋_GB2312" w:hAnsi="仿宋" w:eastAsia="仿宋_GB2312" w:cs="宋体"/>
          <w:bCs/>
          <w:spacing w:val="40"/>
          <w:kern w:val="0"/>
          <w:sz w:val="32"/>
          <w:szCs w:val="32"/>
        </w:rPr>
        <w:t>一、收入支出决算总表</w:t>
      </w:r>
    </w:p>
    <w:p w14:paraId="3FBF3314">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二、收入决算表</w:t>
      </w:r>
    </w:p>
    <w:p w14:paraId="70BB5526">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三、支出决算表</w:t>
      </w:r>
    </w:p>
    <w:p w14:paraId="791F83B0">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四、财政拨款收入支出决算总表</w:t>
      </w:r>
    </w:p>
    <w:p w14:paraId="757D6BC2">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五、一般公共预算财政拨款支出决算表</w:t>
      </w:r>
    </w:p>
    <w:p w14:paraId="373203DC">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六、一般公共预算财政拨款</w:t>
      </w:r>
      <w:r>
        <w:rPr>
          <w:rFonts w:ascii="仿宋_GB2312" w:hAnsi="仿宋" w:eastAsia="仿宋_GB2312" w:cs="宋体"/>
          <w:bCs/>
          <w:spacing w:val="40"/>
          <w:kern w:val="0"/>
          <w:sz w:val="32"/>
          <w:szCs w:val="32"/>
        </w:rPr>
        <w:t>基本支出决算表</w:t>
      </w:r>
    </w:p>
    <w:p w14:paraId="4B3AF408">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七</w:t>
      </w:r>
      <w:r>
        <w:rPr>
          <w:rFonts w:ascii="仿宋_GB2312" w:hAnsi="仿宋" w:eastAsia="仿宋_GB2312" w:cs="宋体"/>
          <w:bCs/>
          <w:spacing w:val="40"/>
          <w:kern w:val="0"/>
          <w:sz w:val="32"/>
          <w:szCs w:val="32"/>
        </w:rPr>
        <w:t>、</w:t>
      </w:r>
      <w:r>
        <w:rPr>
          <w:rFonts w:hint="eastAsia" w:ascii="仿宋_GB2312" w:hAnsi="仿宋" w:eastAsia="仿宋_GB2312" w:cs="宋体"/>
          <w:bCs/>
          <w:spacing w:val="40"/>
          <w:kern w:val="0"/>
          <w:sz w:val="32"/>
          <w:szCs w:val="32"/>
        </w:rPr>
        <w:t>政府性基金预算财政拨款收入支出决算表</w:t>
      </w:r>
    </w:p>
    <w:p w14:paraId="3E22D442">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八、</w:t>
      </w:r>
      <w:r>
        <w:rPr>
          <w:rFonts w:ascii="仿宋_GB2312" w:hAnsi="仿宋" w:eastAsia="仿宋_GB2312" w:cs="宋体"/>
          <w:bCs/>
          <w:spacing w:val="40"/>
          <w:kern w:val="0"/>
          <w:sz w:val="32"/>
          <w:szCs w:val="32"/>
        </w:rPr>
        <w:t>政府性基金</w:t>
      </w:r>
      <w:r>
        <w:rPr>
          <w:rFonts w:hint="eastAsia" w:ascii="仿宋_GB2312" w:hAnsi="仿宋" w:eastAsia="仿宋_GB2312" w:cs="宋体"/>
          <w:bCs/>
          <w:spacing w:val="40"/>
          <w:kern w:val="0"/>
          <w:sz w:val="32"/>
          <w:szCs w:val="32"/>
        </w:rPr>
        <w:t>预算</w:t>
      </w:r>
      <w:r>
        <w:rPr>
          <w:rFonts w:ascii="仿宋_GB2312" w:hAnsi="仿宋" w:eastAsia="仿宋_GB2312" w:cs="宋体"/>
          <w:bCs/>
          <w:spacing w:val="40"/>
          <w:kern w:val="0"/>
          <w:sz w:val="32"/>
          <w:szCs w:val="32"/>
        </w:rPr>
        <w:t>财政拨款基本支出决算表</w:t>
      </w:r>
    </w:p>
    <w:p w14:paraId="11B2E451">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九、国有资本经营预算财政拨款支出决算表</w:t>
      </w:r>
    </w:p>
    <w:p w14:paraId="5DB9AA0D">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十、财政拨款“三公”经费支出决算表</w:t>
      </w:r>
    </w:p>
    <w:p w14:paraId="0627A93F">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十一、政府采购情况表</w:t>
      </w:r>
    </w:p>
    <w:p w14:paraId="375B0606">
      <w:pPr>
        <w:tabs>
          <w:tab w:val="center" w:pos="6979"/>
        </w:tabs>
        <w:spacing w:line="500" w:lineRule="exact"/>
        <w:ind w:firstLine="2400" w:firstLineChars="600"/>
        <w:jc w:val="left"/>
        <w:rPr>
          <w:rFonts w:ascii="仿宋_GB2312" w:hAnsi="仿宋" w:eastAsia="仿宋_GB2312" w:cs="宋体"/>
          <w:bCs/>
          <w:spacing w:val="40"/>
          <w:kern w:val="0"/>
          <w:sz w:val="32"/>
          <w:szCs w:val="32"/>
        </w:rPr>
      </w:pPr>
      <w:r>
        <w:rPr>
          <w:rFonts w:hint="eastAsia" w:ascii="仿宋_GB2312" w:hAnsi="仿宋" w:eastAsia="仿宋_GB2312" w:cs="宋体"/>
          <w:bCs/>
          <w:spacing w:val="40"/>
          <w:kern w:val="0"/>
          <w:sz w:val="32"/>
          <w:szCs w:val="32"/>
        </w:rPr>
        <w:t>十二、政府购买服务决算公开情况表</w:t>
      </w:r>
    </w:p>
    <w:p w14:paraId="402ED06E">
      <w:pPr>
        <w:tabs>
          <w:tab w:val="center" w:pos="6979"/>
        </w:tabs>
        <w:spacing w:line="500" w:lineRule="exact"/>
        <w:ind w:firstLine="1600" w:firstLineChars="400"/>
        <w:jc w:val="left"/>
        <w:rPr>
          <w:rFonts w:ascii="宋体" w:hAnsi="宋体" w:cs="宋体"/>
          <w:bCs/>
          <w:spacing w:val="40"/>
          <w:kern w:val="0"/>
          <w:sz w:val="32"/>
          <w:szCs w:val="32"/>
        </w:rPr>
      </w:pPr>
      <w:r>
        <w:rPr>
          <w:rFonts w:hint="eastAsia" w:ascii="宋体" w:hAnsi="宋体" w:cs="宋体"/>
          <w:bCs/>
          <w:spacing w:val="40"/>
          <w:kern w:val="0"/>
          <w:sz w:val="32"/>
          <w:szCs w:val="32"/>
        </w:rPr>
        <w:t xml:space="preserve">第二部分 </w:t>
      </w:r>
      <w:r>
        <w:rPr>
          <w:rFonts w:hint="eastAsia" w:ascii="宋体" w:hAnsi="宋体"/>
          <w:spacing w:val="40"/>
          <w:sz w:val="32"/>
          <w:szCs w:val="32"/>
        </w:rPr>
        <w:t>2024年度单位决算说明</w:t>
      </w:r>
    </w:p>
    <w:p w14:paraId="2A1EA0CE">
      <w:pPr>
        <w:tabs>
          <w:tab w:val="center" w:pos="6979"/>
        </w:tabs>
        <w:spacing w:line="500" w:lineRule="exact"/>
        <w:ind w:firstLine="1600" w:firstLineChars="400"/>
        <w:jc w:val="left"/>
        <w:rPr>
          <w:rFonts w:ascii="宋体" w:hAnsi="宋体" w:cs="宋体"/>
          <w:spacing w:val="40"/>
          <w:kern w:val="0"/>
          <w:sz w:val="32"/>
          <w:szCs w:val="32"/>
        </w:rPr>
      </w:pPr>
      <w:r>
        <w:rPr>
          <w:rFonts w:hint="eastAsia" w:ascii="宋体" w:hAnsi="宋体" w:cs="宋体"/>
          <w:bCs/>
          <w:spacing w:val="40"/>
          <w:kern w:val="0"/>
          <w:sz w:val="32"/>
          <w:szCs w:val="32"/>
        </w:rPr>
        <w:t xml:space="preserve">第三部分 </w:t>
      </w:r>
      <w:r>
        <w:rPr>
          <w:rFonts w:hint="eastAsia" w:ascii="宋体" w:hAnsi="宋体"/>
          <w:spacing w:val="40"/>
          <w:sz w:val="32"/>
          <w:szCs w:val="32"/>
        </w:rPr>
        <w:t>2024年度</w:t>
      </w:r>
      <w:r>
        <w:rPr>
          <w:rFonts w:hint="eastAsia" w:ascii="宋体" w:hAnsi="宋体" w:cs="宋体"/>
          <w:spacing w:val="40"/>
          <w:kern w:val="0"/>
          <w:sz w:val="32"/>
          <w:szCs w:val="32"/>
        </w:rPr>
        <w:t>其他重要事项的情况说明</w:t>
      </w:r>
    </w:p>
    <w:p w14:paraId="4A189B30">
      <w:pPr>
        <w:tabs>
          <w:tab w:val="center" w:pos="6979"/>
        </w:tabs>
        <w:spacing w:line="500" w:lineRule="exact"/>
        <w:ind w:firstLine="1600" w:firstLineChars="400"/>
        <w:jc w:val="left"/>
        <w:rPr>
          <w:rFonts w:ascii="宋体" w:hAnsi="宋体" w:cs="宋体"/>
          <w:spacing w:val="40"/>
          <w:kern w:val="0"/>
          <w:sz w:val="36"/>
          <w:szCs w:val="32"/>
        </w:rPr>
      </w:pPr>
      <w:r>
        <w:rPr>
          <w:rFonts w:hint="eastAsia" w:ascii="宋体" w:hAnsi="宋体" w:cs="宋体"/>
          <w:spacing w:val="40"/>
          <w:kern w:val="0"/>
          <w:sz w:val="32"/>
          <w:szCs w:val="32"/>
        </w:rPr>
        <w:t>第四部分 2024年度单位绩效评价情况</w:t>
      </w:r>
    </w:p>
    <w:p w14:paraId="219CFCAD">
      <w:pPr>
        <w:tabs>
          <w:tab w:val="center" w:pos="6979"/>
        </w:tabs>
        <w:spacing w:before="156" w:beforeLines="50" w:after="156" w:afterLines="50"/>
        <w:jc w:val="center"/>
        <w:rPr>
          <w:rFonts w:ascii="宋体" w:hAnsi="宋体" w:cs="宋体"/>
          <w:b/>
          <w:bCs/>
          <w:spacing w:val="40"/>
          <w:kern w:val="0"/>
          <w:sz w:val="32"/>
          <w:szCs w:val="32"/>
        </w:rPr>
      </w:pPr>
    </w:p>
    <w:p w14:paraId="2D087EB0">
      <w:pPr>
        <w:tabs>
          <w:tab w:val="center" w:pos="6979"/>
        </w:tabs>
        <w:spacing w:before="156" w:beforeLines="50" w:after="156" w:afterLines="50"/>
        <w:jc w:val="center"/>
        <w:rPr>
          <w:rFonts w:ascii="宋体" w:hAnsi="宋体" w:cs="宋体"/>
          <w:b/>
          <w:bCs/>
          <w:spacing w:val="40"/>
          <w:kern w:val="0"/>
          <w:sz w:val="32"/>
          <w:szCs w:val="32"/>
        </w:rPr>
      </w:pPr>
    </w:p>
    <w:p w14:paraId="54B74DA9">
      <w:pPr>
        <w:tabs>
          <w:tab w:val="center" w:pos="6979"/>
        </w:tabs>
        <w:spacing w:before="156" w:beforeLines="50" w:after="156" w:afterLines="50"/>
        <w:jc w:val="center"/>
        <w:rPr>
          <w:rFonts w:ascii="宋体" w:hAnsi="宋体" w:cs="宋体"/>
          <w:b/>
          <w:bCs/>
          <w:spacing w:val="40"/>
          <w:kern w:val="0"/>
          <w:sz w:val="32"/>
          <w:szCs w:val="32"/>
        </w:rPr>
      </w:pPr>
    </w:p>
    <w:p w14:paraId="2C916F2B">
      <w:pPr>
        <w:tabs>
          <w:tab w:val="center" w:pos="6979"/>
        </w:tabs>
        <w:spacing w:before="156" w:beforeLines="50" w:after="156" w:afterLines="50"/>
        <w:jc w:val="center"/>
        <w:rPr>
          <w:rFonts w:ascii="宋体" w:hAnsi="宋体" w:cs="宋体"/>
          <w:b/>
          <w:bCs/>
          <w:spacing w:val="40"/>
          <w:kern w:val="0"/>
          <w:sz w:val="32"/>
          <w:szCs w:val="32"/>
        </w:rPr>
      </w:pPr>
    </w:p>
    <w:p w14:paraId="22502A3C">
      <w:pPr>
        <w:tabs>
          <w:tab w:val="center" w:pos="6979"/>
        </w:tabs>
        <w:spacing w:before="156" w:beforeLines="50" w:after="156" w:afterLines="50"/>
        <w:jc w:val="center"/>
        <w:rPr>
          <w:rFonts w:ascii="宋体" w:hAnsi="宋体" w:cs="宋体"/>
          <w:b/>
          <w:bCs/>
          <w:spacing w:val="40"/>
          <w:kern w:val="0"/>
          <w:sz w:val="32"/>
          <w:szCs w:val="32"/>
        </w:rPr>
      </w:pPr>
    </w:p>
    <w:p w14:paraId="13FB5753">
      <w:pPr>
        <w:tabs>
          <w:tab w:val="center" w:pos="6979"/>
        </w:tabs>
        <w:spacing w:before="156" w:beforeLines="50" w:after="156" w:afterLines="50"/>
        <w:jc w:val="center"/>
        <w:rPr>
          <w:rFonts w:ascii="宋体" w:hAnsi="宋体" w:cs="宋体"/>
          <w:b/>
          <w:bCs/>
          <w:spacing w:val="40"/>
          <w:kern w:val="0"/>
          <w:sz w:val="32"/>
          <w:szCs w:val="32"/>
        </w:rPr>
      </w:pPr>
      <w:r>
        <w:rPr>
          <w:rFonts w:hint="eastAsia" w:ascii="宋体" w:hAnsi="宋体" w:cs="宋体"/>
          <w:b/>
          <w:bCs/>
          <w:spacing w:val="40"/>
          <w:kern w:val="0"/>
          <w:sz w:val="44"/>
          <w:szCs w:val="44"/>
        </w:rPr>
        <w:t>第一部分 2024年度单位决算报表</w:t>
      </w:r>
    </w:p>
    <w:p w14:paraId="1110EAE9">
      <w:pPr>
        <w:pStyle w:val="2"/>
        <w:rPr>
          <w:b w:val="0"/>
          <w:bCs w:val="0"/>
        </w:rPr>
        <w:sectPr>
          <w:footerReference r:id="rId3" w:type="default"/>
          <w:pgSz w:w="16838" w:h="11906" w:orient="landscape"/>
          <w:pgMar w:top="1134" w:right="1134" w:bottom="1134" w:left="1134" w:header="851" w:footer="992" w:gutter="0"/>
          <w:cols w:space="720" w:num="1"/>
          <w:docGrid w:type="linesAndChars" w:linePitch="312" w:charSpace="0"/>
        </w:sectPr>
      </w:pPr>
      <w:r>
        <w:rPr>
          <w:rFonts w:hint="eastAsia" w:ascii="仿宋_GB2312" w:eastAsia="仿宋_GB2312"/>
          <w:sz w:val="28"/>
          <w:szCs w:val="28"/>
        </w:rPr>
        <w:t xml:space="preserve">   </w:t>
      </w:r>
      <w:r>
        <w:rPr>
          <w:rFonts w:hint="eastAsia" w:ascii="仿宋_GB2312" w:eastAsia="仿宋_GB2312"/>
          <w:b w:val="0"/>
          <w:bCs w:val="0"/>
          <w:sz w:val="28"/>
          <w:szCs w:val="28"/>
        </w:rPr>
        <w:t>报表详见附件。</w:t>
      </w:r>
    </w:p>
    <w:p w14:paraId="7558B505">
      <w:pPr>
        <w:tabs>
          <w:tab w:val="center" w:pos="6979"/>
        </w:tabs>
        <w:spacing w:before="156" w:beforeLines="50" w:after="156" w:afterLines="50"/>
        <w:jc w:val="center"/>
        <w:rPr>
          <w:rFonts w:ascii="宋体" w:hAnsi="宋体"/>
          <w:b/>
          <w:sz w:val="32"/>
          <w:szCs w:val="32"/>
        </w:rPr>
      </w:pPr>
      <w:r>
        <w:rPr>
          <w:rFonts w:hint="eastAsia" w:ascii="宋体" w:hAnsi="宋体" w:cs="宋体"/>
          <w:b/>
          <w:bCs/>
          <w:spacing w:val="40"/>
          <w:kern w:val="0"/>
          <w:sz w:val="32"/>
          <w:szCs w:val="32"/>
        </w:rPr>
        <w:t xml:space="preserve">第二部分 </w:t>
      </w:r>
      <w:r>
        <w:rPr>
          <w:rFonts w:hint="eastAsia" w:ascii="宋体" w:hAnsi="宋体"/>
          <w:b/>
          <w:spacing w:val="40"/>
          <w:sz w:val="32"/>
          <w:szCs w:val="32"/>
        </w:rPr>
        <w:t>2024年度单位决算说明</w:t>
      </w:r>
    </w:p>
    <w:p w14:paraId="34155F2B">
      <w:pPr>
        <w:tabs>
          <w:tab w:val="center" w:pos="6979"/>
        </w:tabs>
        <w:spacing w:line="580" w:lineRule="exact"/>
        <w:ind w:firstLine="548" w:firstLineChars="196"/>
        <w:rPr>
          <w:rFonts w:ascii="黑体" w:eastAsia="黑体"/>
          <w:b/>
          <w:sz w:val="28"/>
          <w:szCs w:val="28"/>
        </w:rPr>
      </w:pPr>
      <w:r>
        <w:rPr>
          <w:rFonts w:hint="eastAsia" w:ascii="黑体" w:eastAsia="黑体"/>
          <w:b/>
          <w:sz w:val="28"/>
          <w:szCs w:val="28"/>
        </w:rPr>
        <w:t>一、单位基本情况</w:t>
      </w:r>
    </w:p>
    <w:p w14:paraId="7772F9F5">
      <w:pPr>
        <w:ind w:firstLine="560" w:firstLineChars="200"/>
        <w:rPr>
          <w:rFonts w:ascii="仿宋_GB2312" w:eastAsia="仿宋_GB2312" w:cs="Droid Sans"/>
          <w:sz w:val="28"/>
          <w:szCs w:val="28"/>
        </w:rPr>
      </w:pPr>
      <w:r>
        <w:rPr>
          <w:rFonts w:hint="eastAsia" w:ascii="仿宋_GB2312" w:eastAsia="仿宋_GB2312"/>
          <w:sz w:val="28"/>
          <w:szCs w:val="28"/>
        </w:rPr>
        <w:t>（一</w:t>
      </w:r>
      <w:r>
        <w:rPr>
          <w:rFonts w:ascii="仿宋_GB2312" w:eastAsia="仿宋_GB2312"/>
          <w:sz w:val="28"/>
          <w:szCs w:val="28"/>
        </w:rPr>
        <w:t>）</w:t>
      </w:r>
      <w:r>
        <w:rPr>
          <w:rFonts w:hint="eastAsia" w:ascii="仿宋_GB2312" w:eastAsia="仿宋_GB2312" w:cs="Droid Sans"/>
          <w:sz w:val="28"/>
          <w:szCs w:val="28"/>
        </w:rPr>
        <w:t>机构设置</w:t>
      </w:r>
    </w:p>
    <w:p w14:paraId="0059C4AC">
      <w:pPr>
        <w:ind w:firstLine="555"/>
        <w:rPr>
          <w:rFonts w:ascii="仿宋_GB2312" w:eastAsia="仿宋_GB2312" w:cs="Droid Sans"/>
          <w:sz w:val="28"/>
          <w:szCs w:val="28"/>
        </w:rPr>
      </w:pPr>
      <w:r>
        <w:rPr>
          <w:rFonts w:hint="eastAsia" w:ascii="仿宋_GB2312" w:eastAsia="仿宋_GB2312" w:cs="Droid Sans"/>
          <w:sz w:val="28"/>
          <w:szCs w:val="28"/>
        </w:rPr>
        <w:t>根据《中共北京市委机构编制委员会关于市体育局所属事业单位改革有关事项的批复》文件核定，北京市游泳运动学校为市体育局所属正处级公益一类事业单位。内设两室四科，分别为综合办公室、党群办公室、竞训科、场馆科、行政科、财务科。</w:t>
      </w:r>
    </w:p>
    <w:p w14:paraId="44C7B298">
      <w:pPr>
        <w:ind w:firstLine="555"/>
        <w:rPr>
          <w:rFonts w:ascii="仿宋_GB2312" w:eastAsia="仿宋_GB2312" w:cs="Droid Sans"/>
          <w:sz w:val="28"/>
          <w:szCs w:val="28"/>
        </w:rPr>
      </w:pPr>
      <w:r>
        <w:rPr>
          <w:rFonts w:hint="eastAsia" w:ascii="仿宋_GB2312" w:eastAsia="仿宋_GB2312"/>
          <w:sz w:val="28"/>
          <w:szCs w:val="28"/>
        </w:rPr>
        <w:t>（二</w:t>
      </w:r>
      <w:r>
        <w:rPr>
          <w:rFonts w:ascii="仿宋_GB2312" w:eastAsia="仿宋_GB2312"/>
          <w:sz w:val="28"/>
          <w:szCs w:val="28"/>
        </w:rPr>
        <w:t>）</w:t>
      </w:r>
      <w:r>
        <w:rPr>
          <w:rFonts w:hint="eastAsia" w:ascii="仿宋_GB2312" w:eastAsia="仿宋_GB2312" w:cs="Droid Sans"/>
          <w:sz w:val="28"/>
          <w:szCs w:val="28"/>
        </w:rPr>
        <w:t>主要职责</w:t>
      </w:r>
    </w:p>
    <w:p w14:paraId="05C88181">
      <w:pPr>
        <w:ind w:firstLine="555"/>
        <w:rPr>
          <w:rFonts w:ascii="仿宋_GB2312" w:eastAsia="仿宋_GB2312" w:cs="Droid Sans"/>
          <w:sz w:val="28"/>
          <w:szCs w:val="28"/>
        </w:rPr>
      </w:pPr>
      <w:r>
        <w:rPr>
          <w:rFonts w:hint="eastAsia" w:ascii="仿宋_GB2312" w:eastAsia="仿宋_GB2312" w:cs="Droid Sans"/>
          <w:sz w:val="28"/>
          <w:szCs w:val="28"/>
        </w:rPr>
        <w:t>1.承担游泳项目业余训练工作。</w:t>
      </w:r>
    </w:p>
    <w:p w14:paraId="28E404C9">
      <w:pPr>
        <w:ind w:firstLine="555"/>
        <w:rPr>
          <w:rFonts w:ascii="仿宋_GB2312" w:eastAsia="仿宋_GB2312" w:cs="Droid Sans"/>
          <w:sz w:val="28"/>
          <w:szCs w:val="28"/>
        </w:rPr>
      </w:pPr>
      <w:r>
        <w:rPr>
          <w:rFonts w:hint="eastAsia" w:ascii="仿宋_GB2312" w:eastAsia="仿宋_GB2312" w:cs="Droid Sans"/>
          <w:sz w:val="28"/>
          <w:szCs w:val="28"/>
        </w:rPr>
        <w:t>2.承担游泳项目推广、培训、赛事服务等事务性工作。</w:t>
      </w:r>
    </w:p>
    <w:p w14:paraId="3674FFA6">
      <w:pPr>
        <w:tabs>
          <w:tab w:val="center" w:pos="6979"/>
        </w:tabs>
        <w:spacing w:line="580" w:lineRule="exact"/>
        <w:ind w:firstLine="560" w:firstLineChars="200"/>
        <w:rPr>
          <w:rFonts w:ascii="仿宋_GB2312" w:eastAsia="仿宋_GB2312"/>
          <w:sz w:val="28"/>
          <w:szCs w:val="28"/>
        </w:rPr>
      </w:pPr>
      <w:r>
        <w:rPr>
          <w:rFonts w:hint="eastAsia" w:ascii="仿宋_GB2312" w:eastAsia="仿宋_GB2312" w:cs="Droid Sans"/>
          <w:sz w:val="28"/>
          <w:szCs w:val="28"/>
        </w:rPr>
        <w:t>3.开展相关群众健身活动，提供体育公益服务。</w:t>
      </w:r>
    </w:p>
    <w:p w14:paraId="5B1B6F5B">
      <w:pPr>
        <w:tabs>
          <w:tab w:val="center" w:pos="6979"/>
        </w:tabs>
        <w:spacing w:line="580" w:lineRule="exact"/>
        <w:rPr>
          <w:rFonts w:ascii="黑体" w:eastAsia="黑体"/>
          <w:b/>
          <w:sz w:val="28"/>
          <w:szCs w:val="28"/>
        </w:rPr>
      </w:pPr>
      <w:r>
        <w:rPr>
          <w:rFonts w:hint="eastAsia" w:ascii="仿宋_GB2312" w:eastAsia="仿宋_GB2312"/>
          <w:b/>
          <w:sz w:val="32"/>
          <w:szCs w:val="32"/>
        </w:rPr>
        <w:t xml:space="preserve">   </w:t>
      </w:r>
      <w:r>
        <w:rPr>
          <w:rFonts w:hint="eastAsia" w:ascii="黑体" w:eastAsia="黑体"/>
          <w:b/>
          <w:sz w:val="28"/>
          <w:szCs w:val="28"/>
        </w:rPr>
        <w:t>二、收入支出决算总体情况说明</w:t>
      </w:r>
    </w:p>
    <w:p w14:paraId="7ACD6A4E">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2024年度收、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1193.94</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减少182.47万元，下降13.26%。</w:t>
      </w:r>
    </w:p>
    <w:p w14:paraId="65BC1021">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（一</w:t>
      </w:r>
      <w:r>
        <w:rPr>
          <w:rFonts w:ascii="仿宋_GB2312" w:eastAsia="仿宋_GB2312"/>
          <w:sz w:val="28"/>
          <w:szCs w:val="28"/>
        </w:rPr>
        <w:t>）</w:t>
      </w:r>
      <w:r>
        <w:rPr>
          <w:rFonts w:hint="eastAsia" w:ascii="仿宋_GB2312" w:eastAsia="仿宋_GB2312"/>
          <w:sz w:val="28"/>
          <w:szCs w:val="28"/>
        </w:rPr>
        <w:t>收入决算</w:t>
      </w:r>
      <w:r>
        <w:rPr>
          <w:rFonts w:ascii="仿宋_GB2312" w:eastAsia="仿宋_GB2312"/>
          <w:sz w:val="28"/>
          <w:szCs w:val="28"/>
        </w:rPr>
        <w:t>说明</w:t>
      </w:r>
    </w:p>
    <w:p w14:paraId="04E70D0C">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2024年度本年收入合计</w:t>
      </w:r>
      <w:r>
        <w:rPr>
          <w:rFonts w:ascii="仿宋_GB2312" w:eastAsia="仿宋_GB2312"/>
          <w:sz w:val="28"/>
          <w:szCs w:val="28"/>
        </w:rPr>
        <w:t>1190.73</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减少82.20万元，下降6.46%。</w:t>
      </w:r>
    </w:p>
    <w:p w14:paraId="3FDC5E26">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1.财政拨款收入</w:t>
      </w:r>
      <w:r>
        <w:rPr>
          <w:rFonts w:ascii="仿宋_GB2312" w:eastAsia="仿宋_GB2312"/>
          <w:sz w:val="28"/>
          <w:szCs w:val="28"/>
        </w:rPr>
        <w:t>1189.76</w:t>
      </w:r>
      <w:r>
        <w:rPr>
          <w:rFonts w:hint="eastAsia" w:ascii="仿宋_GB2312" w:eastAsia="仿宋_GB2312"/>
          <w:sz w:val="28"/>
          <w:szCs w:val="28"/>
        </w:rPr>
        <w:t>万元，占收入合计的99.92%。其中：一般公共预算财政拨款收入</w:t>
      </w:r>
      <w:r>
        <w:rPr>
          <w:rFonts w:ascii="仿宋_GB2312" w:eastAsia="仿宋_GB2312"/>
          <w:sz w:val="28"/>
          <w:szCs w:val="28"/>
        </w:rPr>
        <w:t>1189.76</w:t>
      </w:r>
      <w:r>
        <w:rPr>
          <w:rFonts w:hint="eastAsia" w:ascii="仿宋_GB2312" w:eastAsia="仿宋_GB2312"/>
          <w:sz w:val="28"/>
          <w:szCs w:val="28"/>
        </w:rPr>
        <w:t>万元，占收入合计的99.92%；政府性基金预算财政拨款收入</w:t>
      </w:r>
      <w:r>
        <w:rPr>
          <w:rFonts w:ascii="仿宋_GB2312" w:eastAsia="仿宋_GB2312"/>
          <w:sz w:val="28"/>
          <w:szCs w:val="28"/>
        </w:rPr>
        <w:t>0</w:t>
      </w:r>
      <w:r>
        <w:rPr>
          <w:rFonts w:hint="eastAsia" w:ascii="仿宋_GB2312" w:eastAsia="仿宋_GB2312"/>
          <w:sz w:val="28"/>
          <w:szCs w:val="28"/>
        </w:rPr>
        <w:t>万元，占收入合计的0%；国有资本经营预算财政拨款收入</w:t>
      </w:r>
      <w:r>
        <w:rPr>
          <w:rFonts w:ascii="仿宋_GB2312" w:eastAsia="仿宋_GB2312"/>
          <w:sz w:val="28"/>
          <w:szCs w:val="28"/>
        </w:rPr>
        <w:t>0</w:t>
      </w:r>
      <w:r>
        <w:rPr>
          <w:rFonts w:hint="eastAsia" w:ascii="仿宋_GB2312" w:eastAsia="仿宋_GB2312"/>
          <w:sz w:val="28"/>
          <w:szCs w:val="28"/>
        </w:rPr>
        <w:t>万元，占收入合计的0%；</w:t>
      </w:r>
    </w:p>
    <w:p w14:paraId="26C069A6">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2.上级补助收入</w:t>
      </w:r>
      <w:r>
        <w:rPr>
          <w:rFonts w:ascii="仿宋_GB2312" w:eastAsia="仿宋_GB2312"/>
          <w:sz w:val="28"/>
          <w:szCs w:val="28"/>
        </w:rPr>
        <w:t>0</w:t>
      </w:r>
      <w:r>
        <w:rPr>
          <w:rFonts w:hint="eastAsia" w:ascii="仿宋_GB2312" w:eastAsia="仿宋_GB2312"/>
          <w:sz w:val="28"/>
          <w:szCs w:val="28"/>
        </w:rPr>
        <w:t>万元，占收入合计的0%；</w:t>
      </w:r>
    </w:p>
    <w:p w14:paraId="703A86B7">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3.事业收入</w:t>
      </w:r>
      <w:r>
        <w:rPr>
          <w:rFonts w:ascii="仿宋_GB2312" w:eastAsia="仿宋_GB2312"/>
          <w:sz w:val="28"/>
          <w:szCs w:val="28"/>
        </w:rPr>
        <w:t>0</w:t>
      </w:r>
      <w:r>
        <w:rPr>
          <w:rFonts w:hint="eastAsia" w:ascii="仿宋_GB2312" w:eastAsia="仿宋_GB2312"/>
          <w:sz w:val="28"/>
          <w:szCs w:val="28"/>
        </w:rPr>
        <w:t>万元，占收入合计的0%；</w:t>
      </w:r>
    </w:p>
    <w:p w14:paraId="76FBFE3D">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4.经营收入</w:t>
      </w:r>
      <w:r>
        <w:rPr>
          <w:rFonts w:ascii="仿宋_GB2312" w:eastAsia="仿宋_GB2312"/>
          <w:sz w:val="28"/>
          <w:szCs w:val="28"/>
        </w:rPr>
        <w:t>0</w:t>
      </w:r>
      <w:r>
        <w:rPr>
          <w:rFonts w:hint="eastAsia" w:ascii="仿宋_GB2312" w:eastAsia="仿宋_GB2312"/>
          <w:sz w:val="28"/>
          <w:szCs w:val="28"/>
        </w:rPr>
        <w:t>万元，占收入合计的0%；</w:t>
      </w:r>
    </w:p>
    <w:p w14:paraId="3F3DA4DC">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5.附属单位上缴收入</w:t>
      </w:r>
      <w:r>
        <w:rPr>
          <w:rFonts w:ascii="仿宋_GB2312" w:eastAsia="仿宋_GB2312"/>
          <w:sz w:val="28"/>
          <w:szCs w:val="28"/>
        </w:rPr>
        <w:t>0</w:t>
      </w:r>
      <w:r>
        <w:rPr>
          <w:rFonts w:hint="eastAsia" w:ascii="仿宋_GB2312" w:eastAsia="仿宋_GB2312"/>
          <w:sz w:val="28"/>
          <w:szCs w:val="28"/>
        </w:rPr>
        <w:t>万元，占收入合计的0%；</w:t>
      </w:r>
    </w:p>
    <w:p w14:paraId="38078DC1">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6.其他收入</w:t>
      </w:r>
      <w:r>
        <w:rPr>
          <w:rFonts w:ascii="仿宋_GB2312" w:eastAsia="仿宋_GB2312"/>
          <w:sz w:val="28"/>
          <w:szCs w:val="28"/>
        </w:rPr>
        <w:t>0.97</w:t>
      </w:r>
      <w:r>
        <w:rPr>
          <w:rFonts w:hint="eastAsia" w:ascii="仿宋_GB2312" w:eastAsia="仿宋_GB2312"/>
          <w:sz w:val="28"/>
          <w:szCs w:val="28"/>
        </w:rPr>
        <w:t>万元，占收入合计的0.08%。</w:t>
      </w:r>
    </w:p>
    <w:p w14:paraId="4484D91D">
      <w:pPr>
        <w:spacing w:line="560" w:lineRule="exact"/>
        <w:ind w:firstLine="640"/>
        <w:rPr>
          <w:rFonts w:ascii="仿宋_GB2312" w:eastAsia="仿宋_GB2312" w:cs="Droid Sans"/>
          <w:color w:val="000000"/>
          <w:sz w:val="32"/>
          <w:szCs w:val="32"/>
        </w:rPr>
      </w:pPr>
    </w:p>
    <w:p w14:paraId="05B2C98E">
      <w:pPr>
        <w:pStyle w:val="2"/>
        <w:jc w:val="center"/>
        <w:rPr>
          <w:rFonts w:ascii="仿宋_GB2312" w:eastAsia="仿宋_GB2312"/>
          <w:color w:val="000000"/>
          <w:sz w:val="32"/>
        </w:rPr>
      </w:pPr>
      <w:r>
        <w:rPr>
          <w:rFonts w:hint="eastAsia" w:ascii="仿宋_GB2312" w:eastAsia="仿宋_GB2312"/>
          <w:color w:val="000000"/>
          <w:sz w:val="32"/>
        </w:rPr>
        <w:t>图1：收入决算</w:t>
      </w:r>
    </w:p>
    <w:p w14:paraId="709492D7">
      <w:pPr>
        <w:pStyle w:val="3"/>
        <w:ind w:firstLine="420"/>
        <w:jc w:val="center"/>
      </w:pPr>
      <w:r>
        <w:drawing>
          <wp:inline distT="0" distB="0" distL="0" distR="0">
            <wp:extent cx="4036695" cy="2328545"/>
            <wp:effectExtent l="0" t="0" r="1905" b="14605"/>
            <wp:docPr id="7" name="图表 7" title="{{pieChar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049198DB">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（二</w:t>
      </w:r>
      <w:r>
        <w:rPr>
          <w:rFonts w:ascii="仿宋_GB2312" w:eastAsia="仿宋_GB2312"/>
          <w:sz w:val="28"/>
          <w:szCs w:val="28"/>
        </w:rPr>
        <w:t>）</w:t>
      </w:r>
      <w:r>
        <w:rPr>
          <w:rFonts w:hint="eastAsia" w:ascii="仿宋_GB2312" w:eastAsia="仿宋_GB2312"/>
          <w:sz w:val="28"/>
          <w:szCs w:val="28"/>
        </w:rPr>
        <w:t>支出决算</w:t>
      </w:r>
      <w:r>
        <w:rPr>
          <w:rFonts w:ascii="仿宋_GB2312" w:eastAsia="仿宋_GB2312"/>
          <w:sz w:val="28"/>
          <w:szCs w:val="28"/>
        </w:rPr>
        <w:t>说明</w:t>
      </w:r>
    </w:p>
    <w:p w14:paraId="2388B44F">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2024年度本年支出合计</w:t>
      </w:r>
      <w:r>
        <w:rPr>
          <w:rFonts w:ascii="仿宋_GB2312" w:eastAsia="仿宋_GB2312"/>
          <w:sz w:val="28"/>
          <w:szCs w:val="28"/>
        </w:rPr>
        <w:t>1190.73</w:t>
      </w:r>
      <w:r>
        <w:rPr>
          <w:rFonts w:hint="eastAsia" w:ascii="仿宋_GB2312" w:eastAsia="仿宋_GB2312"/>
          <w:sz w:val="28"/>
          <w:szCs w:val="28"/>
        </w:rPr>
        <w:t>万元，</w:t>
      </w:r>
      <w:r>
        <w:rPr>
          <w:rFonts w:ascii="仿宋_GB2312" w:eastAsia="仿宋_GB2312"/>
          <w:sz w:val="28"/>
          <w:szCs w:val="28"/>
        </w:rPr>
        <w:t>比上年</w:t>
      </w:r>
      <w:r>
        <w:rPr>
          <w:rFonts w:hint="eastAsia" w:ascii="仿宋_GB2312" w:eastAsia="仿宋_GB2312"/>
          <w:sz w:val="28"/>
          <w:szCs w:val="28"/>
        </w:rPr>
        <w:t>减少181.26万元，下降13.21%，其中：基本支出</w:t>
      </w:r>
      <w:r>
        <w:rPr>
          <w:rFonts w:ascii="仿宋_GB2312" w:eastAsia="仿宋_GB2312"/>
          <w:sz w:val="28"/>
          <w:szCs w:val="28"/>
        </w:rPr>
        <w:t>1190.73</w:t>
      </w:r>
      <w:r>
        <w:rPr>
          <w:rFonts w:hint="eastAsia" w:ascii="仿宋_GB2312" w:eastAsia="仿宋_GB2312"/>
          <w:sz w:val="28"/>
          <w:szCs w:val="28"/>
        </w:rPr>
        <w:t>万元，占支出合计的100%；项目支出</w:t>
      </w:r>
      <w:r>
        <w:rPr>
          <w:rFonts w:ascii="仿宋_GB2312" w:eastAsia="仿宋_GB2312"/>
          <w:sz w:val="28"/>
          <w:szCs w:val="28"/>
        </w:rPr>
        <w:t>0</w:t>
      </w:r>
      <w:r>
        <w:rPr>
          <w:rFonts w:hint="eastAsia" w:ascii="仿宋_GB2312" w:eastAsia="仿宋_GB2312"/>
          <w:sz w:val="28"/>
          <w:szCs w:val="28"/>
        </w:rPr>
        <w:t>万元，占支出合计的0%;上缴上级支出</w:t>
      </w:r>
      <w:r>
        <w:rPr>
          <w:rFonts w:ascii="仿宋_GB2312" w:eastAsia="仿宋_GB2312"/>
          <w:sz w:val="28"/>
          <w:szCs w:val="28"/>
        </w:rPr>
        <w:t>0</w:t>
      </w:r>
      <w:r>
        <w:rPr>
          <w:rFonts w:hint="eastAsia" w:ascii="仿宋_GB2312" w:eastAsia="仿宋_GB2312"/>
          <w:sz w:val="28"/>
          <w:szCs w:val="28"/>
        </w:rPr>
        <w:t>万元，占支出合计的0%；经营支出</w:t>
      </w:r>
      <w:r>
        <w:rPr>
          <w:rFonts w:ascii="仿宋_GB2312" w:eastAsia="仿宋_GB2312"/>
          <w:sz w:val="28"/>
          <w:szCs w:val="28"/>
        </w:rPr>
        <w:t>0</w:t>
      </w:r>
      <w:r>
        <w:rPr>
          <w:rFonts w:hint="eastAsia" w:ascii="仿宋_GB2312" w:eastAsia="仿宋_GB2312"/>
          <w:sz w:val="28"/>
          <w:szCs w:val="28"/>
        </w:rPr>
        <w:t>万元，占支出合计的0%；对附属单位补助支出</w:t>
      </w:r>
      <w:r>
        <w:rPr>
          <w:rFonts w:ascii="仿宋_GB2312" w:eastAsia="仿宋_GB2312"/>
          <w:sz w:val="28"/>
          <w:szCs w:val="28"/>
        </w:rPr>
        <w:t>0</w:t>
      </w:r>
      <w:r>
        <w:rPr>
          <w:rFonts w:hint="eastAsia" w:ascii="仿宋_GB2312" w:eastAsia="仿宋_GB2312"/>
          <w:sz w:val="28"/>
          <w:szCs w:val="28"/>
        </w:rPr>
        <w:t>万元，占支出合计的0%。</w:t>
      </w:r>
    </w:p>
    <w:p w14:paraId="4B225FAA">
      <w:pPr>
        <w:spacing w:line="560" w:lineRule="exact"/>
        <w:ind w:firstLine="640"/>
        <w:rPr>
          <w:rFonts w:ascii="仿宋_GB2312" w:eastAsia="仿宋_GB2312" w:cs="Droid Sans"/>
          <w:color w:val="000000"/>
          <w:sz w:val="32"/>
          <w:szCs w:val="32"/>
        </w:rPr>
      </w:pPr>
    </w:p>
    <w:p w14:paraId="6D292AC0">
      <w:pPr>
        <w:pStyle w:val="2"/>
        <w:ind w:firstLine="642"/>
        <w:jc w:val="center"/>
        <w:rPr>
          <w:rFonts w:ascii="仿宋_GB2312" w:eastAsia="仿宋_GB2312"/>
          <w:color w:val="000000"/>
          <w:sz w:val="32"/>
        </w:rPr>
      </w:pPr>
      <w:r>
        <w:rPr>
          <w:rFonts w:hint="eastAsia" w:ascii="仿宋_GB2312" w:eastAsia="仿宋_GB2312"/>
          <w:color w:val="000000"/>
          <w:sz w:val="32"/>
        </w:rPr>
        <w:t>图2：基本支出和项目支出情况</w:t>
      </w:r>
    </w:p>
    <w:p w14:paraId="52BBF85F">
      <w:pPr>
        <w:jc w:val="center"/>
        <w:rPr>
          <w:rFonts w:ascii="黑体" w:eastAsia="黑体"/>
          <w:b/>
          <w:sz w:val="28"/>
          <w:szCs w:val="28"/>
        </w:rPr>
      </w:pPr>
      <w:r>
        <w:drawing>
          <wp:inline distT="0" distB="0" distL="114300" distR="114300">
            <wp:extent cx="4000500" cy="2400300"/>
            <wp:effectExtent l="4445" t="5080" r="14605" b="13970"/>
            <wp:docPr id="1" name="图表 3" title="{{pieChart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068B2C5">
      <w:pPr>
        <w:tabs>
          <w:tab w:val="center" w:pos="6979"/>
        </w:tabs>
        <w:spacing w:line="580" w:lineRule="exact"/>
        <w:ind w:firstLine="548" w:firstLineChars="196"/>
        <w:rPr>
          <w:rFonts w:ascii="黑体" w:eastAsia="黑体"/>
          <w:b/>
          <w:sz w:val="28"/>
          <w:szCs w:val="28"/>
        </w:rPr>
      </w:pPr>
      <w:r>
        <w:rPr>
          <w:rFonts w:hint="eastAsia" w:ascii="黑体" w:eastAsia="黑体"/>
          <w:b/>
          <w:sz w:val="28"/>
          <w:szCs w:val="28"/>
        </w:rPr>
        <w:t>三</w:t>
      </w:r>
      <w:r>
        <w:rPr>
          <w:rFonts w:ascii="黑体" w:eastAsia="黑体"/>
          <w:b/>
          <w:sz w:val="28"/>
          <w:szCs w:val="28"/>
        </w:rPr>
        <w:t>、财政拨款</w:t>
      </w:r>
      <w:r>
        <w:rPr>
          <w:rFonts w:hint="eastAsia" w:ascii="黑体" w:eastAsia="黑体"/>
          <w:b/>
          <w:sz w:val="28"/>
          <w:szCs w:val="28"/>
        </w:rPr>
        <w:t>收入支出决算</w:t>
      </w:r>
      <w:r>
        <w:rPr>
          <w:rFonts w:ascii="黑体" w:eastAsia="黑体"/>
          <w:b/>
          <w:sz w:val="28"/>
          <w:szCs w:val="28"/>
        </w:rPr>
        <w:t>总体情况说明</w:t>
      </w:r>
    </w:p>
    <w:p w14:paraId="7E59FE4D">
      <w:pPr>
        <w:tabs>
          <w:tab w:val="center" w:pos="6979"/>
        </w:tabs>
        <w:spacing w:line="580" w:lineRule="exact"/>
        <w:ind w:firstLine="570"/>
        <w:rPr>
          <w:rFonts w:ascii="仿宋_GB2312" w:eastAsia="仿宋_GB2312"/>
          <w:sz w:val="28"/>
          <w:szCs w:val="28"/>
        </w:rPr>
      </w:pPr>
      <w:r>
        <w:rPr>
          <w:rFonts w:hint="eastAsia" w:ascii="仿宋_GB2312" w:eastAsia="仿宋_GB2312"/>
          <w:sz w:val="28"/>
          <w:szCs w:val="28"/>
        </w:rPr>
        <w:t>2024年度财政拨款收、</w:t>
      </w:r>
      <w:r>
        <w:rPr>
          <w:rFonts w:ascii="仿宋_GB2312" w:eastAsia="仿宋_GB2312"/>
          <w:sz w:val="28"/>
          <w:szCs w:val="28"/>
        </w:rPr>
        <w:t>支</w:t>
      </w:r>
      <w:r>
        <w:rPr>
          <w:rFonts w:hint="eastAsia" w:ascii="仿宋_GB2312" w:eastAsia="仿宋_GB2312"/>
          <w:sz w:val="28"/>
          <w:szCs w:val="28"/>
        </w:rPr>
        <w:t>总计</w:t>
      </w:r>
      <w:r>
        <w:rPr>
          <w:rFonts w:ascii="仿宋_GB2312" w:eastAsia="仿宋_GB2312"/>
          <w:sz w:val="28"/>
          <w:szCs w:val="28"/>
        </w:rPr>
        <w:t>1189.76</w:t>
      </w:r>
      <w:r>
        <w:rPr>
          <w:rFonts w:hint="eastAsia" w:ascii="仿宋_GB2312" w:eastAsia="仿宋_GB2312"/>
          <w:sz w:val="28"/>
          <w:szCs w:val="28"/>
        </w:rPr>
        <w:t>万元，比上年减少182.25万元，下降13.28%。主要原因：人数减少。</w:t>
      </w:r>
    </w:p>
    <w:p w14:paraId="6A34A536">
      <w:pPr>
        <w:tabs>
          <w:tab w:val="center" w:pos="6979"/>
        </w:tabs>
        <w:spacing w:line="580" w:lineRule="exact"/>
        <w:ind w:firstLine="548" w:firstLineChars="196"/>
        <w:rPr>
          <w:rFonts w:ascii="黑体" w:eastAsia="黑体"/>
          <w:b/>
          <w:sz w:val="28"/>
          <w:szCs w:val="28"/>
        </w:rPr>
      </w:pPr>
      <w:r>
        <w:rPr>
          <w:rFonts w:hint="eastAsia" w:ascii="黑体" w:eastAsia="黑体"/>
          <w:b/>
          <w:sz w:val="28"/>
          <w:szCs w:val="28"/>
        </w:rPr>
        <w:t>四、一般公共预算财政拨款支出决算情况说明</w:t>
      </w:r>
    </w:p>
    <w:p w14:paraId="63DE49EC">
      <w:pPr>
        <w:autoSpaceDE w:val="0"/>
        <w:autoSpaceDN w:val="0"/>
        <w:adjustRightInd w:val="0"/>
        <w:spacing w:line="580" w:lineRule="exact"/>
        <w:ind w:firstLine="560" w:firstLineChars="200"/>
        <w:jc w:val="left"/>
        <w:rPr>
          <w:rFonts w:ascii="仿宋_GB2312" w:eastAsia="仿宋_GB2312"/>
          <w:sz w:val="28"/>
          <w:szCs w:val="28"/>
        </w:rPr>
      </w:pPr>
      <w:r>
        <w:rPr>
          <w:rFonts w:hint="eastAsia" w:ascii="仿宋_GB2312" w:eastAsia="仿宋_GB2312"/>
          <w:sz w:val="28"/>
          <w:szCs w:val="28"/>
        </w:rPr>
        <w:t>（一）一般公共预算财政拨款支出决算总体情况</w:t>
      </w:r>
    </w:p>
    <w:p w14:paraId="081F5A91">
      <w:pPr>
        <w:tabs>
          <w:tab w:val="center" w:pos="6979"/>
        </w:tabs>
        <w:spacing w:line="580" w:lineRule="exact"/>
        <w:ind w:firstLine="560" w:firstLineChars="200"/>
        <w:rPr>
          <w:rFonts w:ascii="仿宋_GB2312" w:eastAsia="仿宋_GB2312"/>
          <w:sz w:val="28"/>
          <w:szCs w:val="28"/>
        </w:rPr>
      </w:pPr>
      <w:r>
        <w:rPr>
          <w:rFonts w:hint="eastAsia" w:ascii="仿宋_GB2312" w:eastAsia="仿宋_GB2312"/>
          <w:sz w:val="28"/>
          <w:szCs w:val="28"/>
        </w:rPr>
        <w:t>2024年度一般公共预算财政拨款支出</w:t>
      </w:r>
      <w:r>
        <w:rPr>
          <w:rFonts w:ascii="仿宋_GB2312" w:eastAsia="仿宋_GB2312"/>
          <w:sz w:val="28"/>
          <w:szCs w:val="28"/>
        </w:rPr>
        <w:t>1189.76</w:t>
      </w:r>
      <w:r>
        <w:rPr>
          <w:rFonts w:hint="eastAsia" w:ascii="仿宋_GB2312" w:eastAsia="仿宋_GB2312"/>
          <w:sz w:val="28"/>
          <w:szCs w:val="28"/>
        </w:rPr>
        <w:t>万元，主要用于以下方面：教育支出3.00万元，占本年财政拨款支出0.25％；文化旅游体育与传媒支出1176.20万元，占本年财政拨款支出98.86％；社会保障和就业支出10.56万元，占本年财政拨款支出0.89％。</w:t>
      </w:r>
    </w:p>
    <w:p w14:paraId="471E113C">
      <w:pPr>
        <w:autoSpaceDE w:val="0"/>
        <w:autoSpaceDN w:val="0"/>
        <w:adjustRightInd w:val="0"/>
        <w:spacing w:line="580" w:lineRule="exact"/>
        <w:ind w:firstLine="560" w:firstLineChars="200"/>
        <w:jc w:val="left"/>
        <w:rPr>
          <w:rFonts w:ascii="仿宋_GB2312" w:eastAsia="仿宋_GB2312"/>
          <w:sz w:val="28"/>
          <w:szCs w:val="28"/>
        </w:rPr>
      </w:pPr>
      <w:r>
        <w:rPr>
          <w:rFonts w:hint="eastAsia" w:ascii="仿宋_GB2312" w:eastAsia="仿宋_GB2312"/>
          <w:sz w:val="28"/>
          <w:szCs w:val="28"/>
        </w:rPr>
        <w:t>（二）一般公共预算财政拨款支出决算具体情况</w:t>
      </w:r>
    </w:p>
    <w:p w14:paraId="44B931F2">
      <w:pPr>
        <w:autoSpaceDE w:val="0"/>
        <w:autoSpaceDN w:val="0"/>
        <w:adjustRightInd w:val="0"/>
        <w:spacing w:line="580" w:lineRule="exact"/>
        <w:ind w:firstLine="560" w:firstLineChars="200"/>
        <w:jc w:val="left"/>
        <w:rPr>
          <w:rFonts w:hint="eastAsia" w:ascii="仿宋_GB2312" w:eastAsia="仿宋_GB2312"/>
          <w:sz w:val="28"/>
          <w:szCs w:val="28"/>
          <w:highlight w:val="none"/>
          <w:lang w:val="en-US" w:eastAsia="zh-CN"/>
        </w:rPr>
      </w:pPr>
      <w:r>
        <w:rPr>
          <w:rFonts w:hint="eastAsia" w:ascii="仿宋_GB2312" w:eastAsia="仿宋_GB2312"/>
          <w:sz w:val="28"/>
          <w:szCs w:val="28"/>
        </w:rPr>
        <w:t>1、“教育支出”2024年度年初预算3.00万元，2024年度决算3.00万元，完成年初预算的100.00%。</w:t>
      </w:r>
      <w:r>
        <w:rPr>
          <w:rFonts w:hint="eastAsia" w:ascii="仿宋_GB2312" w:eastAsia="仿宋_GB2312"/>
          <w:sz w:val="28"/>
          <w:szCs w:val="28"/>
          <w:highlight w:val="none"/>
        </w:rPr>
        <w:t>其中</w:t>
      </w:r>
      <w:r>
        <w:rPr>
          <w:rFonts w:hint="eastAsia" w:ascii="仿宋_GB2312" w:eastAsia="仿宋_GB2312"/>
          <w:sz w:val="28"/>
          <w:szCs w:val="28"/>
          <w:highlight w:val="none"/>
          <w:lang w:val="en-US" w:eastAsia="zh-CN"/>
        </w:rPr>
        <w:t>:</w:t>
      </w:r>
    </w:p>
    <w:p w14:paraId="4370ED81">
      <w:pPr>
        <w:autoSpaceDE w:val="0"/>
        <w:autoSpaceDN w:val="0"/>
        <w:adjustRightInd w:val="0"/>
        <w:spacing w:line="580" w:lineRule="exact"/>
        <w:ind w:firstLine="560" w:firstLineChars="200"/>
        <w:jc w:val="left"/>
        <w:rPr>
          <w:rFonts w:ascii="仿宋_GB2312" w:eastAsia="仿宋_GB2312"/>
          <w:sz w:val="28"/>
          <w:szCs w:val="28"/>
          <w:highlight w:val="yellow"/>
        </w:rPr>
      </w:pPr>
      <w:r>
        <w:rPr>
          <w:rFonts w:hint="eastAsia" w:ascii="仿宋_GB2312" w:eastAsia="仿宋_GB2312"/>
          <w:sz w:val="28"/>
          <w:szCs w:val="28"/>
        </w:rPr>
        <w:t>“</w:t>
      </w:r>
      <w:r>
        <w:rPr>
          <w:rFonts w:hint="eastAsia" w:ascii="仿宋_GB2312" w:eastAsia="仿宋_GB2312"/>
          <w:sz w:val="28"/>
          <w:szCs w:val="28"/>
          <w:highlight w:val="none"/>
        </w:rPr>
        <w:t>进修及培训”2024年度年初预算3.00万元，2024年度决算3.00万元，完成年初预算的100%。</w:t>
      </w:r>
    </w:p>
    <w:p w14:paraId="5C9FCFE4">
      <w:pPr>
        <w:numPr>
          <w:ilvl w:val="0"/>
          <w:numId w:val="1"/>
        </w:numPr>
        <w:spacing w:line="580" w:lineRule="exact"/>
        <w:ind w:firstLine="560" w:firstLineChars="200"/>
        <w:rPr>
          <w:rFonts w:hint="eastAsia" w:ascii="仿宋_GB2312" w:eastAsia="仿宋_GB2312"/>
          <w:sz w:val="28"/>
          <w:szCs w:val="28"/>
          <w:lang w:val="en-US" w:eastAsia="zh-CN"/>
        </w:rPr>
      </w:pPr>
      <w:r>
        <w:rPr>
          <w:rFonts w:hint="eastAsia" w:ascii="仿宋_GB2312" w:eastAsia="仿宋_GB2312"/>
          <w:sz w:val="28"/>
          <w:szCs w:val="28"/>
        </w:rPr>
        <w:t>“文化旅游体育与传媒支出”2024年度年初预算1176.21万元，2024年度决算1176.20万元，与年初预算数基本持平。其中</w:t>
      </w:r>
      <w:r>
        <w:rPr>
          <w:rFonts w:hint="eastAsia" w:ascii="仿宋_GB2312" w:eastAsia="仿宋_GB2312"/>
          <w:sz w:val="28"/>
          <w:szCs w:val="28"/>
          <w:lang w:val="en-US" w:eastAsia="zh-CN"/>
        </w:rPr>
        <w:t>:</w:t>
      </w:r>
    </w:p>
    <w:p w14:paraId="477F3836">
      <w:pPr>
        <w:numPr>
          <w:ilvl w:val="0"/>
          <w:numId w:val="0"/>
        </w:numPr>
        <w:spacing w:line="580" w:lineRule="exact"/>
        <w:ind w:firstLine="560" w:firstLineChars="200"/>
        <w:rPr>
          <w:rFonts w:ascii="仿宋_GB2312" w:eastAsia="仿宋_GB2312"/>
          <w:color w:val="FF0000"/>
          <w:sz w:val="28"/>
          <w:szCs w:val="28"/>
        </w:rPr>
      </w:pPr>
      <w:r>
        <w:rPr>
          <w:rFonts w:hint="eastAsia" w:ascii="仿宋_GB2312" w:eastAsia="仿宋_GB2312"/>
          <w:sz w:val="28"/>
          <w:szCs w:val="28"/>
        </w:rPr>
        <w:t>“体育”2024年度年初预算1176.21万元，2024年度决算1176.20万元，与年初预算数基本持平。</w:t>
      </w:r>
    </w:p>
    <w:p w14:paraId="79D998D0">
      <w:pPr>
        <w:numPr>
          <w:ilvl w:val="0"/>
          <w:numId w:val="1"/>
        </w:numPr>
        <w:autoSpaceDE w:val="0"/>
        <w:autoSpaceDN w:val="0"/>
        <w:adjustRightInd w:val="0"/>
        <w:spacing w:line="580" w:lineRule="exact"/>
        <w:ind w:left="0" w:leftChars="0" w:firstLine="560" w:firstLineChars="200"/>
        <w:jc w:val="left"/>
        <w:rPr>
          <w:rFonts w:hint="eastAsia" w:ascii="仿宋_GB2312" w:eastAsia="仿宋_GB2312"/>
          <w:sz w:val="28"/>
          <w:szCs w:val="28"/>
          <w:lang w:val="en-US" w:eastAsia="zh-CN"/>
        </w:rPr>
      </w:pPr>
      <w:r>
        <w:rPr>
          <w:rFonts w:hint="eastAsia" w:ascii="仿宋_GB2312" w:eastAsia="仿宋_GB2312"/>
          <w:sz w:val="28"/>
          <w:szCs w:val="28"/>
        </w:rPr>
        <w:t>“社会保障和就业支出”2024年度年初预算10.56万元，2024年度决算10.56万元，完成年初预算的100.00%。其中</w:t>
      </w:r>
      <w:r>
        <w:rPr>
          <w:rFonts w:hint="eastAsia" w:ascii="仿宋_GB2312" w:eastAsia="仿宋_GB2312"/>
          <w:sz w:val="28"/>
          <w:szCs w:val="28"/>
          <w:lang w:val="en-US" w:eastAsia="zh-CN"/>
        </w:rPr>
        <w:t>:</w:t>
      </w:r>
    </w:p>
    <w:p w14:paraId="3E02DD94">
      <w:pPr>
        <w:numPr>
          <w:ilvl w:val="0"/>
          <w:numId w:val="0"/>
        </w:numPr>
        <w:autoSpaceDE w:val="0"/>
        <w:autoSpaceDN w:val="0"/>
        <w:adjustRightInd w:val="0"/>
        <w:spacing w:line="580" w:lineRule="exact"/>
        <w:ind w:leftChars="200"/>
        <w:jc w:val="left"/>
        <w:rPr>
          <w:rFonts w:ascii="仿宋_GB2312" w:eastAsia="仿宋_GB2312"/>
          <w:sz w:val="28"/>
          <w:szCs w:val="28"/>
          <w:highlight w:val="yellow"/>
        </w:rPr>
      </w:pPr>
      <w:r>
        <w:rPr>
          <w:rFonts w:hint="eastAsia" w:ascii="仿宋_GB2312" w:eastAsia="仿宋_GB2312"/>
          <w:sz w:val="28"/>
          <w:szCs w:val="28"/>
        </w:rPr>
        <w:t>“行政事业单位离退休”2024年度年初预算10.56万元，2024年度决算10.56万元，完成年初预算的100%。</w:t>
      </w:r>
    </w:p>
    <w:p w14:paraId="0F2BE951">
      <w:pPr>
        <w:spacing w:line="580" w:lineRule="exact"/>
        <w:ind w:firstLine="560" w:firstLineChars="200"/>
        <w:rPr>
          <w:rFonts w:ascii="黑体" w:eastAsia="黑体"/>
          <w:b/>
          <w:sz w:val="28"/>
          <w:szCs w:val="28"/>
        </w:rPr>
      </w:pPr>
      <w:r>
        <w:rPr>
          <w:rFonts w:hint="eastAsia" w:ascii="黑体" w:eastAsia="黑体"/>
          <w:b/>
          <w:sz w:val="28"/>
          <w:szCs w:val="28"/>
        </w:rPr>
        <w:t>五、政府性基金预算财政拨款支出决算情况说明</w:t>
      </w:r>
    </w:p>
    <w:p w14:paraId="459B9894">
      <w:pPr>
        <w:ind w:firstLine="537" w:firstLineChars="192"/>
        <w:rPr>
          <w:rFonts w:ascii="仿宋_GB2312" w:eastAsia="仿宋_GB2312"/>
          <w:sz w:val="28"/>
          <w:szCs w:val="28"/>
        </w:rPr>
      </w:pPr>
      <w:r>
        <w:rPr>
          <w:rFonts w:hint="eastAsia" w:ascii="仿宋_GB2312" w:eastAsia="仿宋_GB2312"/>
          <w:sz w:val="28"/>
          <w:szCs w:val="28"/>
        </w:rPr>
        <w:t>本单位无此项经费。</w:t>
      </w:r>
    </w:p>
    <w:p w14:paraId="6D28534E">
      <w:pPr>
        <w:spacing w:line="580" w:lineRule="exact"/>
        <w:ind w:firstLine="560" w:firstLineChars="200"/>
        <w:rPr>
          <w:rFonts w:ascii="黑体" w:eastAsia="黑体"/>
          <w:b/>
          <w:sz w:val="28"/>
          <w:szCs w:val="28"/>
        </w:rPr>
      </w:pPr>
      <w:r>
        <w:rPr>
          <w:rFonts w:hint="eastAsia" w:ascii="黑体" w:eastAsia="黑体"/>
          <w:b/>
          <w:sz w:val="28"/>
          <w:szCs w:val="28"/>
        </w:rPr>
        <w:t>六、国有资本经营预算财</w:t>
      </w:r>
      <w:r>
        <w:rPr>
          <w:rFonts w:ascii="黑体" w:eastAsia="黑体"/>
          <w:b/>
          <w:sz w:val="28"/>
          <w:szCs w:val="28"/>
        </w:rPr>
        <w:t>政拨款</w:t>
      </w:r>
      <w:r>
        <w:rPr>
          <w:rFonts w:hint="eastAsia" w:ascii="黑体" w:eastAsia="黑体"/>
          <w:b/>
          <w:sz w:val="28"/>
          <w:szCs w:val="28"/>
        </w:rPr>
        <w:t>收支情况</w:t>
      </w:r>
    </w:p>
    <w:p w14:paraId="48934107">
      <w:pPr>
        <w:ind w:firstLine="537" w:firstLineChars="192"/>
        <w:rPr>
          <w:rFonts w:hint="eastAsia" w:ascii="仿宋_GB2312" w:eastAsia="仿宋_GB2312"/>
          <w:sz w:val="28"/>
          <w:szCs w:val="28"/>
          <w:lang w:eastAsia="zh-CN"/>
        </w:rPr>
      </w:pPr>
      <w:r>
        <w:rPr>
          <w:rFonts w:hint="eastAsia" w:ascii="仿宋_GB2312" w:eastAsia="仿宋_GB2312"/>
          <w:sz w:val="28"/>
          <w:szCs w:val="28"/>
        </w:rPr>
        <w:t>本单位无此项经费。</w:t>
      </w:r>
    </w:p>
    <w:p w14:paraId="4EE405AA">
      <w:pPr>
        <w:spacing w:line="580" w:lineRule="exact"/>
        <w:ind w:firstLine="548" w:firstLineChars="196"/>
        <w:rPr>
          <w:rFonts w:ascii="黑体" w:eastAsia="黑体"/>
          <w:sz w:val="28"/>
          <w:szCs w:val="28"/>
        </w:rPr>
      </w:pPr>
      <w:r>
        <w:rPr>
          <w:rFonts w:hint="eastAsia" w:ascii="黑体" w:eastAsia="黑体"/>
          <w:b/>
          <w:sz w:val="28"/>
          <w:szCs w:val="28"/>
        </w:rPr>
        <w:t>七、财政拨款基本支出决算情况说明</w:t>
      </w:r>
    </w:p>
    <w:p w14:paraId="49D83F4B">
      <w:pPr>
        <w:tabs>
          <w:tab w:val="center" w:pos="6979"/>
        </w:tabs>
        <w:spacing w:line="580" w:lineRule="exact"/>
        <w:ind w:firstLine="548" w:firstLineChars="196"/>
        <w:rPr>
          <w:rFonts w:ascii="黑体" w:eastAsia="黑体"/>
          <w:b/>
          <w:sz w:val="28"/>
          <w:szCs w:val="28"/>
        </w:rPr>
      </w:pPr>
      <w:r>
        <w:rPr>
          <w:rFonts w:hint="eastAsia" w:ascii="仿宋_GB2312" w:eastAsia="仿宋_GB2312"/>
          <w:sz w:val="28"/>
          <w:szCs w:val="28"/>
        </w:rPr>
        <w:t>2024年度使用一般公共预算财政拨款安排基本支出</w:t>
      </w:r>
      <w:r>
        <w:rPr>
          <w:rFonts w:ascii="仿宋_GB2312" w:eastAsia="仿宋_GB2312"/>
          <w:sz w:val="28"/>
          <w:szCs w:val="28"/>
        </w:rPr>
        <w:t>1189.76</w:t>
      </w:r>
      <w:r>
        <w:rPr>
          <w:rFonts w:hint="eastAsia" w:ascii="仿宋_GB2312" w:eastAsia="仿宋_GB2312"/>
          <w:sz w:val="28"/>
          <w:szCs w:val="28"/>
        </w:rPr>
        <w:t>万元，使用政府性基金财政拨款安排基本支出</w:t>
      </w:r>
      <w:r>
        <w:rPr>
          <w:rFonts w:ascii="仿宋_GB2312" w:eastAsia="仿宋_GB2312"/>
          <w:sz w:val="28"/>
          <w:szCs w:val="28"/>
        </w:rPr>
        <w:t>0</w:t>
      </w:r>
      <w:r>
        <w:rPr>
          <w:rFonts w:hint="eastAsia" w:ascii="仿宋_GB2312" w:eastAsia="仿宋_GB2312"/>
          <w:sz w:val="28"/>
          <w:szCs w:val="28"/>
        </w:rPr>
        <w:t>万元，（1）工资福利支出包括基本工资</w:t>
      </w:r>
      <w:r>
        <w:rPr>
          <w:rFonts w:ascii="仿宋_GB2312" w:eastAsia="仿宋_GB2312"/>
          <w:sz w:val="28"/>
          <w:szCs w:val="28"/>
        </w:rPr>
        <w:t>、津贴补贴、奖金、伙食补助费、绩效工资、</w:t>
      </w:r>
      <w:r>
        <w:rPr>
          <w:rFonts w:hint="eastAsia" w:ascii="仿宋_GB2312" w:eastAsia="仿宋_GB2312"/>
          <w:sz w:val="28"/>
          <w:szCs w:val="28"/>
        </w:rPr>
        <w:t>其他</w:t>
      </w:r>
      <w:r>
        <w:rPr>
          <w:rFonts w:ascii="仿宋_GB2312" w:eastAsia="仿宋_GB2312"/>
          <w:sz w:val="28"/>
          <w:szCs w:val="28"/>
        </w:rPr>
        <w:t>社会保障缴费、其他工资福利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；（2）商品和服务支出包括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；（3）对个人和家庭补助支出包括</w:t>
      </w:r>
      <w:r>
        <w:rPr>
          <w:rFonts w:ascii="仿宋_GB2312" w:eastAsia="仿宋_GB2312"/>
          <w:sz w:val="28"/>
          <w:szCs w:val="28"/>
        </w:rPr>
        <w:t>离休费、退休费、抚恤金、生活补助、</w:t>
      </w:r>
      <w:r>
        <w:rPr>
          <w:rFonts w:hint="eastAsia" w:ascii="仿宋_GB2312" w:eastAsia="仿宋_GB2312"/>
          <w:sz w:val="28"/>
          <w:szCs w:val="28"/>
        </w:rPr>
        <w:t>救济费</w:t>
      </w:r>
      <w:r>
        <w:rPr>
          <w:rFonts w:ascii="仿宋_GB2312" w:eastAsia="仿宋_GB2312"/>
          <w:sz w:val="28"/>
          <w:szCs w:val="28"/>
        </w:rPr>
        <w:t>、医疗费</w:t>
      </w:r>
      <w:r>
        <w:rPr>
          <w:rFonts w:hint="eastAsia" w:ascii="仿宋_GB2312" w:eastAsia="仿宋_GB2312"/>
          <w:sz w:val="28"/>
          <w:szCs w:val="28"/>
        </w:rPr>
        <w:t>补助</w:t>
      </w:r>
      <w:r>
        <w:rPr>
          <w:rFonts w:ascii="仿宋_GB2312" w:eastAsia="仿宋_GB2312"/>
          <w:sz w:val="28"/>
          <w:szCs w:val="28"/>
        </w:rPr>
        <w:t>、助学金、奖励金</w:t>
      </w:r>
      <w:r>
        <w:rPr>
          <w:rFonts w:hint="eastAsia" w:ascii="仿宋_GB2312" w:eastAsia="仿宋_GB2312"/>
          <w:sz w:val="28"/>
          <w:szCs w:val="28"/>
        </w:rPr>
        <w:t>、</w:t>
      </w:r>
      <w:r>
        <w:rPr>
          <w:rFonts w:ascii="仿宋_GB2312" w:eastAsia="仿宋_GB2312"/>
          <w:sz w:val="28"/>
          <w:szCs w:val="28"/>
        </w:rPr>
        <w:t>其他对个人和家庭的补助</w:t>
      </w:r>
      <w:r>
        <w:rPr>
          <w:rFonts w:hint="eastAsia" w:ascii="仿宋_GB2312" w:eastAsia="仿宋_GB2312"/>
          <w:sz w:val="28"/>
          <w:szCs w:val="28"/>
        </w:rPr>
        <w:t>等</w:t>
      </w:r>
      <w:r>
        <w:rPr>
          <w:rFonts w:ascii="仿宋_GB2312" w:eastAsia="仿宋_GB2312"/>
          <w:sz w:val="28"/>
          <w:szCs w:val="28"/>
        </w:rPr>
        <w:t>支出</w:t>
      </w:r>
      <w:r>
        <w:rPr>
          <w:rFonts w:hint="eastAsia" w:ascii="仿宋_GB2312" w:eastAsia="仿宋_GB2312"/>
          <w:sz w:val="28"/>
          <w:szCs w:val="28"/>
        </w:rPr>
        <w:t>。（4）其他资本性支出包括</w:t>
      </w:r>
      <w:r>
        <w:rPr>
          <w:rFonts w:ascii="仿宋_GB2312" w:eastAsia="仿宋_GB2312"/>
          <w:sz w:val="28"/>
          <w:szCs w:val="28"/>
        </w:rPr>
        <w:t>办公设备购置、专用设备购置</w:t>
      </w:r>
      <w:r>
        <w:rPr>
          <w:rFonts w:hint="eastAsia" w:ascii="仿宋_GB2312" w:eastAsia="仿宋_GB2312"/>
          <w:sz w:val="28"/>
          <w:szCs w:val="28"/>
        </w:rPr>
        <w:t>等</w:t>
      </w:r>
      <w:r>
        <w:rPr>
          <w:rFonts w:ascii="仿宋_GB2312" w:eastAsia="仿宋_GB2312"/>
          <w:sz w:val="28"/>
          <w:szCs w:val="28"/>
        </w:rPr>
        <w:t>。</w:t>
      </w:r>
    </w:p>
    <w:p w14:paraId="4B3BDF86">
      <w:pPr>
        <w:autoSpaceDE w:val="0"/>
        <w:autoSpaceDN w:val="0"/>
        <w:adjustRightInd w:val="0"/>
        <w:spacing w:line="580" w:lineRule="exact"/>
        <w:rPr>
          <w:rFonts w:ascii="宋体" w:hAnsi="宋体"/>
          <w:b/>
          <w:spacing w:val="40"/>
          <w:sz w:val="32"/>
          <w:szCs w:val="32"/>
        </w:rPr>
      </w:pPr>
      <w:r>
        <w:rPr>
          <w:rFonts w:ascii="仿宋_GB2312" w:eastAsia="仿宋_GB2312"/>
          <w:b/>
          <w:sz w:val="32"/>
          <w:szCs w:val="32"/>
        </w:rPr>
        <w:tab/>
      </w:r>
    </w:p>
    <w:p w14:paraId="64B75A41">
      <w:pPr>
        <w:tabs>
          <w:tab w:val="center" w:pos="6979"/>
        </w:tabs>
        <w:jc w:val="center"/>
        <w:rPr>
          <w:rFonts w:ascii="宋体" w:hAnsi="宋体" w:cs="宋体"/>
          <w:b/>
          <w:spacing w:val="40"/>
          <w:kern w:val="0"/>
          <w:sz w:val="32"/>
          <w:szCs w:val="32"/>
        </w:rPr>
      </w:pPr>
      <w:r>
        <w:rPr>
          <w:rFonts w:hint="eastAsia" w:ascii="宋体" w:hAnsi="宋体" w:cs="宋体"/>
          <w:b/>
          <w:bCs/>
          <w:spacing w:val="40"/>
          <w:kern w:val="0"/>
          <w:sz w:val="32"/>
          <w:szCs w:val="32"/>
        </w:rPr>
        <w:t>第三部分</w:t>
      </w:r>
      <w:r>
        <w:rPr>
          <w:rFonts w:hint="eastAsia" w:ascii="宋体" w:hAnsi="宋体"/>
          <w:b/>
          <w:spacing w:val="40"/>
          <w:sz w:val="32"/>
          <w:szCs w:val="32"/>
        </w:rPr>
        <w:t>2024年度</w:t>
      </w:r>
      <w:r>
        <w:rPr>
          <w:rFonts w:hint="eastAsia" w:ascii="宋体" w:hAnsi="宋体" w:cs="宋体"/>
          <w:b/>
          <w:spacing w:val="40"/>
          <w:kern w:val="0"/>
          <w:sz w:val="32"/>
          <w:szCs w:val="32"/>
        </w:rPr>
        <w:t>其他重要事项的情况说明</w:t>
      </w:r>
    </w:p>
    <w:p w14:paraId="537694CD">
      <w:pPr>
        <w:spacing w:line="560" w:lineRule="exact"/>
        <w:ind w:firstLine="560" w:firstLineChars="200"/>
        <w:rPr>
          <w:rFonts w:ascii="黑体" w:eastAsia="黑体"/>
          <w:sz w:val="28"/>
          <w:szCs w:val="28"/>
        </w:rPr>
      </w:pPr>
      <w:r>
        <w:rPr>
          <w:rFonts w:hint="eastAsia" w:ascii="黑体" w:eastAsia="黑体"/>
          <w:sz w:val="28"/>
          <w:szCs w:val="28"/>
        </w:rPr>
        <w:t>一、“三公”经费财政拨款决算情况</w:t>
      </w:r>
    </w:p>
    <w:p w14:paraId="57922AEF">
      <w:pPr>
        <w:spacing w:line="560" w:lineRule="exact"/>
        <w:ind w:firstLine="600"/>
        <w:rPr>
          <w:rFonts w:ascii="仿宋_GB2312" w:eastAsia="仿宋_GB2312"/>
          <w:sz w:val="28"/>
          <w:szCs w:val="28"/>
        </w:rPr>
      </w:pPr>
      <w:r>
        <w:rPr>
          <w:rFonts w:hint="eastAsia" w:ascii="仿宋_GB2312" w:eastAsia="仿宋_GB2312"/>
          <w:sz w:val="28"/>
          <w:szCs w:val="28"/>
        </w:rPr>
        <w:t>2024年度“三公”经费财政拨款决算数</w:t>
      </w:r>
      <w:r>
        <w:rPr>
          <w:rFonts w:ascii="仿宋_GB2312" w:eastAsia="仿宋_GB2312"/>
          <w:sz w:val="28"/>
          <w:szCs w:val="28"/>
        </w:rPr>
        <w:t>1.5</w:t>
      </w:r>
      <w:r>
        <w:rPr>
          <w:rFonts w:hint="eastAsia" w:ascii="仿宋_GB2312" w:eastAsia="仿宋_GB2312"/>
          <w:color w:val="000000" w:themeColor="text1"/>
          <w:sz w:val="28"/>
          <w:szCs w:val="28"/>
          <w14:textFill>
            <w14:solidFill>
              <w14:schemeClr w14:val="tx1"/>
            </w14:solidFill>
          </w14:textFill>
        </w:rPr>
        <w:t>0</w:t>
      </w:r>
      <w:r>
        <w:rPr>
          <w:rFonts w:hint="eastAsia" w:ascii="仿宋_GB2312" w:eastAsia="仿宋_GB2312"/>
          <w:sz w:val="28"/>
          <w:szCs w:val="28"/>
        </w:rPr>
        <w:t>万元。其中：</w:t>
      </w:r>
    </w:p>
    <w:p w14:paraId="30B865FF">
      <w:pPr>
        <w:spacing w:line="560" w:lineRule="exact"/>
        <w:ind w:firstLine="560" w:firstLineChars="200"/>
        <w:rPr>
          <w:rFonts w:ascii="仿宋_GB2312" w:eastAsia="仿宋_GB2312"/>
          <w:sz w:val="28"/>
          <w:szCs w:val="28"/>
        </w:rPr>
      </w:pPr>
      <w:r>
        <w:rPr>
          <w:rFonts w:hint="eastAsia" w:ascii="仿宋_GB2312" w:eastAsia="仿宋_GB2312"/>
          <w:sz w:val="28"/>
          <w:szCs w:val="28"/>
        </w:rPr>
        <w:t>1.因公出国（境）费用。本单位无此项支出。</w:t>
      </w:r>
    </w:p>
    <w:p w14:paraId="75B5CD2E">
      <w:pPr>
        <w:spacing w:line="560" w:lineRule="exact"/>
        <w:ind w:firstLine="560" w:firstLineChars="200"/>
        <w:rPr>
          <w:rFonts w:ascii="仿宋_GB2312" w:eastAsia="仿宋_GB2312"/>
          <w:sz w:val="28"/>
          <w:szCs w:val="28"/>
        </w:rPr>
      </w:pPr>
      <w:r>
        <w:rPr>
          <w:rFonts w:hint="eastAsia" w:ascii="仿宋_GB2312" w:eastAsia="仿宋_GB2312"/>
          <w:sz w:val="28"/>
          <w:szCs w:val="28"/>
        </w:rPr>
        <w:t>2.公务接待费。本单位无此项支出。</w:t>
      </w:r>
    </w:p>
    <w:p w14:paraId="515437D9">
      <w:pPr>
        <w:spacing w:line="540" w:lineRule="exact"/>
        <w:ind w:firstLine="560" w:firstLineChars="200"/>
        <w:rPr>
          <w:rFonts w:ascii="仿宋_GB2312" w:eastAsia="仿宋_GB2312"/>
          <w:sz w:val="28"/>
          <w:szCs w:val="28"/>
        </w:rPr>
      </w:pPr>
      <w:r>
        <w:rPr>
          <w:rFonts w:hint="eastAsia" w:ascii="仿宋_GB2312" w:eastAsia="仿宋_GB2312"/>
          <w:sz w:val="28"/>
          <w:szCs w:val="28"/>
        </w:rPr>
        <w:t>3.公务用车购置及运行维护费。2024年度决算数</w:t>
      </w:r>
      <w:r>
        <w:rPr>
          <w:rFonts w:ascii="仿宋_GB2312" w:eastAsia="仿宋_GB2312"/>
          <w:sz w:val="28"/>
          <w:szCs w:val="28"/>
        </w:rPr>
        <w:t>1.5</w:t>
      </w:r>
      <w:r>
        <w:rPr>
          <w:rFonts w:hint="eastAsia" w:ascii="仿宋_GB2312" w:eastAsia="仿宋_GB2312"/>
          <w:sz w:val="28"/>
          <w:szCs w:val="28"/>
        </w:rPr>
        <w:t>0万元。其中，公务用车购置费2024年度决算数0万元，2024年度更新0辆。公务用车运行维护费2024年度决算数1.50万元，2024年度公务用车保有量</w:t>
      </w:r>
      <w:r>
        <w:rPr>
          <w:rFonts w:ascii="仿宋_GB2312" w:eastAsia="仿宋_GB2312"/>
          <w:sz w:val="28"/>
          <w:szCs w:val="28"/>
        </w:rPr>
        <w:t>2</w:t>
      </w:r>
      <w:r>
        <w:rPr>
          <w:rFonts w:hint="eastAsia" w:ascii="仿宋_GB2312" w:eastAsia="仿宋_GB2312"/>
          <w:sz w:val="28"/>
          <w:szCs w:val="28"/>
        </w:rPr>
        <w:t>辆。</w:t>
      </w:r>
    </w:p>
    <w:p w14:paraId="1CCEFBDD">
      <w:pPr>
        <w:tabs>
          <w:tab w:val="center" w:pos="6979"/>
        </w:tabs>
        <w:ind w:firstLine="554" w:firstLineChars="198"/>
        <w:rPr>
          <w:rFonts w:ascii="黑体" w:eastAsia="黑体"/>
          <w:sz w:val="28"/>
          <w:szCs w:val="28"/>
        </w:rPr>
      </w:pPr>
      <w:r>
        <w:rPr>
          <w:rFonts w:hint="eastAsia" w:ascii="黑体" w:eastAsia="黑体"/>
          <w:sz w:val="28"/>
          <w:szCs w:val="28"/>
        </w:rPr>
        <w:t>二、机关运行经费支出情况</w:t>
      </w:r>
    </w:p>
    <w:p w14:paraId="7A6CDB6A">
      <w:pPr>
        <w:ind w:left="540"/>
        <w:rPr>
          <w:rFonts w:ascii="仿宋_GB2312" w:eastAsia="仿宋_GB2312"/>
          <w:color w:val="000000" w:themeColor="text1"/>
          <w:sz w:val="28"/>
          <w:szCs w:val="28"/>
          <w14:textFill>
            <w14:solidFill>
              <w14:schemeClr w14:val="tx1"/>
            </w14:solidFill>
          </w14:textFill>
        </w:rPr>
      </w:pPr>
      <w:r>
        <w:rPr>
          <w:rFonts w:hint="eastAsia" w:ascii="仿宋_GB2312" w:eastAsia="仿宋_GB2312"/>
          <w:sz w:val="28"/>
          <w:szCs w:val="28"/>
        </w:rPr>
        <w:t>我单位不在机关运行经费统计范围之内。</w:t>
      </w:r>
    </w:p>
    <w:p w14:paraId="0BEDEF1E">
      <w:pPr>
        <w:ind w:left="540"/>
        <w:rPr>
          <w:rFonts w:ascii="黑体" w:eastAsia="黑体"/>
          <w:sz w:val="28"/>
          <w:szCs w:val="28"/>
        </w:rPr>
      </w:pPr>
      <w:r>
        <w:rPr>
          <w:rFonts w:hint="eastAsia" w:ascii="黑体" w:eastAsia="黑体"/>
          <w:sz w:val="28"/>
          <w:szCs w:val="28"/>
        </w:rPr>
        <w:t>三、政府采购支出情况</w:t>
      </w:r>
    </w:p>
    <w:p w14:paraId="19AA6DF1">
      <w:pPr>
        <w:ind w:firstLine="537" w:firstLineChars="192"/>
        <w:rPr>
          <w:rFonts w:ascii="仿宋_GB2312" w:eastAsia="仿宋_GB2312"/>
          <w:sz w:val="28"/>
          <w:szCs w:val="28"/>
        </w:rPr>
      </w:pPr>
      <w:r>
        <w:rPr>
          <w:rFonts w:hint="eastAsia" w:ascii="仿宋_GB2312" w:eastAsia="仿宋_GB2312"/>
          <w:sz w:val="28"/>
          <w:szCs w:val="28"/>
        </w:rPr>
        <w:t>2024年度政府采购支出总额0万元，其中：政府采购货物支出0万元，政府采购工程支出</w:t>
      </w:r>
      <w:r>
        <w:rPr>
          <w:rFonts w:ascii="仿宋_GB2312" w:eastAsia="仿宋_GB2312"/>
          <w:sz w:val="28"/>
          <w:szCs w:val="28"/>
        </w:rPr>
        <w:t>0</w:t>
      </w:r>
      <w:r>
        <w:rPr>
          <w:rFonts w:hint="eastAsia" w:ascii="仿宋_GB2312" w:eastAsia="仿宋_GB2312"/>
          <w:sz w:val="28"/>
          <w:szCs w:val="28"/>
        </w:rPr>
        <w:t>万元，政府采购服务支出0万元。授予中小企业合同金额0万元，其中：授予小微企业合同金额0万元。</w:t>
      </w:r>
    </w:p>
    <w:p w14:paraId="419D4FB1">
      <w:pPr>
        <w:ind w:firstLine="560" w:firstLineChars="200"/>
        <w:rPr>
          <w:rFonts w:ascii="黑体" w:eastAsia="黑体"/>
          <w:sz w:val="28"/>
          <w:szCs w:val="28"/>
          <w:highlight w:val="yellow"/>
        </w:rPr>
      </w:pPr>
      <w:r>
        <w:rPr>
          <w:rFonts w:hint="eastAsia" w:ascii="黑体" w:eastAsia="黑体"/>
          <w:sz w:val="28"/>
          <w:szCs w:val="28"/>
        </w:rPr>
        <w:t>四、国有资产占用情况</w:t>
      </w:r>
    </w:p>
    <w:p w14:paraId="0EF94250">
      <w:pPr>
        <w:ind w:firstLine="560" w:firstLineChars="200"/>
        <w:rPr>
          <w:rFonts w:ascii="仿宋_GB2312" w:eastAsia="仿宋_GB2312"/>
          <w:sz w:val="32"/>
          <w:szCs w:val="32"/>
          <w:highlight w:val="yellow"/>
        </w:rPr>
      </w:pPr>
      <w:r>
        <w:rPr>
          <w:rFonts w:hint="eastAsia" w:ascii="仿宋_GB2312" w:eastAsia="仿宋_GB2312"/>
          <w:sz w:val="28"/>
          <w:szCs w:val="28"/>
        </w:rPr>
        <w:t>截至12月31日，北京市游泳运动学校共有车辆2台；单位价值100万元（含）以上的设备0台（套）。</w:t>
      </w:r>
    </w:p>
    <w:p w14:paraId="5FC5CC86">
      <w:pPr>
        <w:ind w:firstLine="537" w:firstLineChars="192"/>
        <w:rPr>
          <w:rFonts w:ascii="黑体" w:eastAsia="黑体"/>
          <w:sz w:val="28"/>
          <w:szCs w:val="28"/>
        </w:rPr>
      </w:pPr>
      <w:r>
        <w:rPr>
          <w:rFonts w:hint="eastAsia" w:ascii="黑体" w:eastAsia="黑体"/>
          <w:sz w:val="28"/>
          <w:szCs w:val="28"/>
        </w:rPr>
        <w:t>五</w:t>
      </w:r>
      <w:r>
        <w:rPr>
          <w:rFonts w:ascii="黑体" w:eastAsia="黑体"/>
          <w:sz w:val="28"/>
          <w:szCs w:val="28"/>
        </w:rPr>
        <w:t>、政府购买服务</w:t>
      </w:r>
      <w:r>
        <w:rPr>
          <w:rFonts w:hint="eastAsia" w:ascii="黑体" w:eastAsia="黑体"/>
          <w:sz w:val="28"/>
          <w:szCs w:val="28"/>
        </w:rPr>
        <w:t>支出</w:t>
      </w:r>
      <w:r>
        <w:rPr>
          <w:rFonts w:ascii="黑体" w:eastAsia="黑体"/>
          <w:sz w:val="28"/>
          <w:szCs w:val="28"/>
        </w:rPr>
        <w:t>说明</w:t>
      </w:r>
    </w:p>
    <w:p w14:paraId="403F21C6">
      <w:pPr>
        <w:ind w:firstLine="537" w:firstLineChars="192"/>
        <w:rPr>
          <w:rFonts w:ascii="仿宋_GB2312" w:eastAsia="仿宋_GB2312"/>
          <w:sz w:val="28"/>
          <w:szCs w:val="28"/>
        </w:rPr>
      </w:pPr>
      <w:r>
        <w:rPr>
          <w:rFonts w:hint="eastAsia" w:ascii="仿宋_GB2312" w:eastAsia="仿宋_GB2312"/>
          <w:sz w:val="28"/>
          <w:szCs w:val="28"/>
        </w:rPr>
        <w:t>本单位无此项经费。</w:t>
      </w:r>
    </w:p>
    <w:p w14:paraId="4B5B1C35">
      <w:pPr>
        <w:ind w:firstLine="560" w:firstLineChars="200"/>
        <w:jc w:val="left"/>
        <w:rPr>
          <w:rFonts w:ascii="仿宋_GB2312" w:eastAsia="仿宋_GB2312"/>
          <w:color w:val="000000"/>
          <w:sz w:val="32"/>
          <w:szCs w:val="32"/>
        </w:rPr>
      </w:pPr>
      <w:r>
        <w:rPr>
          <w:rFonts w:hint="eastAsia" w:ascii="黑体" w:eastAsia="黑体"/>
          <w:sz w:val="28"/>
          <w:szCs w:val="28"/>
        </w:rPr>
        <w:t>六、</w:t>
      </w:r>
      <w:r>
        <w:rPr>
          <w:rFonts w:ascii="黑体" w:eastAsia="黑体"/>
          <w:sz w:val="28"/>
          <w:szCs w:val="28"/>
        </w:rPr>
        <w:t>专业名词解释</w:t>
      </w:r>
    </w:p>
    <w:p w14:paraId="0D9D862F">
      <w:pPr>
        <w:ind w:firstLine="560" w:firstLineChars="200"/>
        <w:rPr>
          <w:rFonts w:ascii="仿宋_GB2312" w:eastAsia="仿宋_GB2312"/>
          <w:sz w:val="28"/>
          <w:szCs w:val="28"/>
        </w:rPr>
      </w:pPr>
      <w:r>
        <w:rPr>
          <w:rFonts w:hint="eastAsia" w:ascii="仿宋_GB2312" w:eastAsia="仿宋_GB2312"/>
          <w:sz w:val="28"/>
          <w:szCs w:val="28"/>
        </w:rPr>
        <w:t>1.基本支出：指为保障机构正常运转、完成日常工作任务而发生的人员支出和公用支出。</w:t>
      </w:r>
    </w:p>
    <w:p w14:paraId="1DC79A61">
      <w:pPr>
        <w:ind w:firstLine="560" w:firstLineChars="200"/>
        <w:rPr>
          <w:rFonts w:ascii="仿宋_GB2312" w:hAnsi="宋体" w:eastAsia="仿宋_GB2312"/>
          <w:sz w:val="28"/>
          <w:szCs w:val="28"/>
        </w:rPr>
      </w:pPr>
      <w:r>
        <w:rPr>
          <w:rFonts w:hint="eastAsia" w:ascii="仿宋_GB2312" w:eastAsia="仿宋_GB2312"/>
          <w:sz w:val="28"/>
          <w:szCs w:val="28"/>
        </w:rPr>
        <w:t>2.“三公”经费：</w:t>
      </w:r>
      <w:r>
        <w:rPr>
          <w:rFonts w:hint="eastAsia" w:ascii="仿宋_GB2312" w:hAnsi="宋体" w:eastAsia="仿宋_GB2312"/>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14:paraId="3F524B56">
      <w:pPr>
        <w:ind w:firstLine="560" w:firstLineChars="200"/>
        <w:rPr>
          <w:rFonts w:ascii="仿宋_GB2312" w:eastAsia="仿宋_GB2312"/>
          <w:sz w:val="28"/>
          <w:szCs w:val="28"/>
        </w:rPr>
      </w:pPr>
      <w:r>
        <w:rPr>
          <w:rFonts w:hint="eastAsia" w:ascii="仿宋_GB2312" w:eastAsia="仿宋_GB2312"/>
          <w:sz w:val="28"/>
          <w:szCs w:val="28"/>
        </w:rPr>
        <w:t>3</w:t>
      </w:r>
      <w:r>
        <w:rPr>
          <w:rFonts w:ascii="仿宋_GB2312" w:eastAsia="仿宋_GB2312"/>
          <w:sz w:val="28"/>
          <w:szCs w:val="28"/>
        </w:rPr>
        <w:t>.</w:t>
      </w:r>
      <w:r>
        <w:rPr>
          <w:rFonts w:hint="eastAsia" w:ascii="仿宋_GB2312" w:eastAsia="仿宋_GB2312"/>
          <w:sz w:val="28"/>
          <w:szCs w:val="28"/>
        </w:rPr>
        <w:t>政府采购</w:t>
      </w:r>
      <w:r>
        <w:rPr>
          <w:rFonts w:ascii="仿宋_GB2312" w:eastAsia="仿宋_GB2312"/>
          <w:sz w:val="28"/>
          <w:szCs w:val="28"/>
        </w:rPr>
        <w:t>：</w:t>
      </w:r>
      <w:r>
        <w:rPr>
          <w:rFonts w:hint="eastAsia" w:ascii="仿宋_GB2312" w:eastAsia="仿宋_GB2312"/>
          <w:sz w:val="28"/>
          <w:szCs w:val="28"/>
        </w:rPr>
        <w:t>指</w:t>
      </w:r>
      <w:r>
        <w:rPr>
          <w:rFonts w:ascii="仿宋_GB2312" w:eastAsia="仿宋_GB2312"/>
          <w:sz w:val="28"/>
          <w:szCs w:val="28"/>
        </w:rPr>
        <w:t>各级国家机关、事业单位和团体组织，使用</w:t>
      </w:r>
      <w:r>
        <w:rPr>
          <w:rFonts w:hint="eastAsia" w:ascii="仿宋_GB2312" w:eastAsia="仿宋_GB2312"/>
          <w:sz w:val="28"/>
          <w:szCs w:val="28"/>
        </w:rPr>
        <w:t>财政性</w:t>
      </w:r>
      <w:r>
        <w:rPr>
          <w:rFonts w:ascii="仿宋_GB2312" w:eastAsia="仿宋_GB2312"/>
          <w:sz w:val="28"/>
          <w:szCs w:val="28"/>
        </w:rPr>
        <w:t>资金采购依法制定的集中目录以内的或者采购限额标准以上的货物、工程和服务的行为</w:t>
      </w:r>
      <w:r>
        <w:rPr>
          <w:rFonts w:hint="eastAsia" w:ascii="仿宋_GB2312" w:eastAsia="仿宋_GB2312"/>
          <w:sz w:val="28"/>
          <w:szCs w:val="28"/>
        </w:rPr>
        <w:t>，</w:t>
      </w:r>
      <w:r>
        <w:rPr>
          <w:rFonts w:ascii="仿宋_GB2312" w:eastAsia="仿宋_GB2312"/>
          <w:sz w:val="28"/>
          <w:szCs w:val="28"/>
        </w:rPr>
        <w:t>是规范财政支出管理和强化预算约束的有效措施。</w:t>
      </w:r>
    </w:p>
    <w:p w14:paraId="56FEEF22">
      <w:pPr>
        <w:ind w:firstLine="420" w:firstLineChars="150"/>
        <w:rPr>
          <w:rFonts w:ascii="仿宋_GB2312" w:eastAsia="仿宋_GB2312"/>
          <w:sz w:val="28"/>
          <w:szCs w:val="28"/>
        </w:rPr>
      </w:pPr>
      <w:r>
        <w:rPr>
          <w:rFonts w:hint="eastAsia" w:ascii="仿宋_GB2312" w:eastAsia="仿宋_GB2312"/>
          <w:sz w:val="28"/>
          <w:szCs w:val="28"/>
        </w:rPr>
        <w:t xml:space="preserve"> </w:t>
      </w:r>
      <w:r>
        <w:rPr>
          <w:rFonts w:hint="eastAsia" w:ascii="仿宋_GB2312" w:eastAsia="仿宋_GB2312"/>
          <w:bCs/>
          <w:sz w:val="28"/>
          <w:szCs w:val="28"/>
        </w:rPr>
        <w:t>4.教育支出（类）进修及培训（款）培训支出（项）：反映各部门安排的用于培训的支出。教育部门的师资培训，党校、行政学院等专业干部教育机构的支出，以及退役士兵、转业士官的培训支出，不在本科目反映。</w:t>
      </w:r>
    </w:p>
    <w:p w14:paraId="44831514">
      <w:pPr>
        <w:ind w:firstLine="560" w:firstLineChars="200"/>
        <w:rPr>
          <w:rFonts w:ascii="仿宋_GB2312" w:eastAsia="仿宋_GB2312"/>
          <w:bCs/>
          <w:sz w:val="28"/>
          <w:szCs w:val="28"/>
        </w:rPr>
      </w:pPr>
      <w:r>
        <w:rPr>
          <w:rFonts w:hint="eastAsia" w:ascii="仿宋_GB2312" w:eastAsia="仿宋_GB2312"/>
          <w:bCs/>
          <w:sz w:val="28"/>
          <w:szCs w:val="28"/>
        </w:rPr>
        <w:t xml:space="preserve">5.文化旅游体育与传媒支出（类）体育（款）运动项目管理（项）：反映各项目运动管理中心和运动学校等单位的日常管理支出。 </w:t>
      </w:r>
    </w:p>
    <w:p w14:paraId="1E4D23DB">
      <w:pPr>
        <w:ind w:firstLine="420" w:firstLineChars="150"/>
        <w:rPr>
          <w:rFonts w:ascii="仿宋_GB2312" w:eastAsia="仿宋_GB2312"/>
          <w:sz w:val="28"/>
          <w:szCs w:val="28"/>
        </w:rPr>
      </w:pPr>
      <w:r>
        <w:rPr>
          <w:rFonts w:hint="eastAsia" w:ascii="仿宋_GB2312" w:eastAsia="仿宋_GB2312"/>
          <w:bCs/>
          <w:sz w:val="28"/>
          <w:szCs w:val="28"/>
        </w:rPr>
        <w:t xml:space="preserve"> 6.社会保障和就业支出（类）行政事业单位养老支出（款）其他行政事业单位养老支出（项）：反映除上述项目以外其他用于行政事业单位养老方面的支出。</w:t>
      </w:r>
    </w:p>
    <w:p w14:paraId="2A967A91">
      <w:pPr>
        <w:rPr>
          <w:rFonts w:ascii="黑体" w:eastAsia="黑体"/>
          <w:sz w:val="32"/>
          <w:szCs w:val="32"/>
        </w:rPr>
      </w:pPr>
    </w:p>
    <w:p w14:paraId="0FF79D64">
      <w:pPr>
        <w:tabs>
          <w:tab w:val="center" w:pos="6979"/>
        </w:tabs>
        <w:spacing w:line="380" w:lineRule="exact"/>
        <w:jc w:val="center"/>
        <w:rPr>
          <w:rFonts w:ascii="宋体" w:hAnsi="宋体" w:cs="宋体"/>
          <w:b/>
          <w:bCs/>
          <w:kern w:val="0"/>
          <w:sz w:val="28"/>
          <w:szCs w:val="28"/>
        </w:rPr>
      </w:pPr>
    </w:p>
    <w:p w14:paraId="57E1976B">
      <w:pPr>
        <w:tabs>
          <w:tab w:val="center" w:pos="6979"/>
        </w:tabs>
        <w:spacing w:line="380" w:lineRule="exact"/>
        <w:jc w:val="center"/>
        <w:rPr>
          <w:rFonts w:ascii="宋体" w:hAnsi="宋体" w:cs="宋体"/>
          <w:b/>
          <w:bCs/>
          <w:kern w:val="0"/>
          <w:sz w:val="28"/>
          <w:szCs w:val="28"/>
        </w:rPr>
      </w:pPr>
    </w:p>
    <w:p w14:paraId="13AC4696">
      <w:pPr>
        <w:rPr>
          <w:rFonts w:ascii="黑体" w:eastAsia="黑体"/>
          <w:sz w:val="32"/>
          <w:szCs w:val="32"/>
        </w:rPr>
      </w:pPr>
    </w:p>
    <w:p w14:paraId="391A10FD">
      <w:pPr>
        <w:ind w:firstLine="640" w:firstLineChars="200"/>
        <w:jc w:val="center"/>
        <w:rPr>
          <w:rFonts w:ascii="黑体" w:eastAsia="黑体"/>
          <w:sz w:val="32"/>
          <w:szCs w:val="32"/>
        </w:rPr>
      </w:pPr>
    </w:p>
    <w:p w14:paraId="5AE644A6">
      <w:pPr>
        <w:jc w:val="both"/>
        <w:rPr>
          <w:rFonts w:hint="eastAsia" w:ascii="黑体" w:eastAsia="黑体"/>
          <w:sz w:val="32"/>
          <w:szCs w:val="32"/>
        </w:rPr>
      </w:pPr>
    </w:p>
    <w:p w14:paraId="6B83A90B">
      <w:pPr>
        <w:jc w:val="center"/>
        <w:rPr>
          <w:rFonts w:ascii="黑体" w:eastAsia="黑体"/>
          <w:sz w:val="32"/>
          <w:szCs w:val="32"/>
        </w:rPr>
      </w:pPr>
      <w:r>
        <w:rPr>
          <w:rFonts w:hint="eastAsia" w:ascii="黑体" w:eastAsia="黑体"/>
          <w:sz w:val="32"/>
          <w:szCs w:val="32"/>
        </w:rPr>
        <w:t>第四部分  2024年度单位绩效评价情况</w:t>
      </w:r>
    </w:p>
    <w:p w14:paraId="6AF90CF5">
      <w:pPr>
        <w:spacing w:line="480" w:lineRule="exact"/>
        <w:ind w:firstLine="560" w:firstLineChars="200"/>
      </w:pPr>
      <w:bookmarkStart w:id="0" w:name="_GoBack"/>
      <w:bookmarkEnd w:id="0"/>
      <w:r>
        <w:rPr>
          <w:rFonts w:hint="eastAsia" w:ascii="仿宋_GB2312" w:eastAsia="仿宋_GB2312"/>
          <w:sz w:val="28"/>
          <w:szCs w:val="28"/>
        </w:rPr>
        <w:t>本单位无项目预算，未开展绩效评价工作。</w:t>
      </w:r>
    </w:p>
    <w:sectPr>
      <w:footerReference r:id="rId4" w:type="default"/>
      <w:footerReference r:id="rId5" w:type="even"/>
      <w:pgSz w:w="16838" w:h="11906" w:orient="landscape"/>
      <w:pgMar w:top="1134" w:right="1134" w:bottom="1134" w:left="1134" w:header="851" w:footer="992" w:gutter="0"/>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Droid Sans">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367BDB">
    <w:pPr>
      <w:pStyle w:val="8"/>
      <w:framePr w:wrap="around" w:vAnchor="text" w:hAnchor="margin" w:xAlign="center" w:y="1"/>
      <w:rPr>
        <w:rStyle w:val="14"/>
      </w:rPr>
    </w:pPr>
    <w:r>
      <w:fldChar w:fldCharType="begin"/>
    </w:r>
    <w:r>
      <w:rPr>
        <w:rStyle w:val="14"/>
      </w:rPr>
      <w:instrText xml:space="preserve">PAGE  </w:instrText>
    </w:r>
    <w:r>
      <w:fldChar w:fldCharType="separate"/>
    </w:r>
    <w:r>
      <w:rPr>
        <w:rStyle w:val="14"/>
      </w:rPr>
      <w:t>3</w:t>
    </w:r>
    <w:r>
      <w:fldChar w:fldCharType="end"/>
    </w:r>
  </w:p>
  <w:p w14:paraId="74738B50">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440A16">
    <w:pPr>
      <w:pStyle w:val="8"/>
      <w:framePr w:wrap="around" w:vAnchor="text" w:hAnchor="margin" w:xAlign="center" w:y="1"/>
      <w:rPr>
        <w:rStyle w:val="14"/>
      </w:rPr>
    </w:pPr>
    <w:r>
      <w:fldChar w:fldCharType="begin"/>
    </w:r>
    <w:r>
      <w:rPr>
        <w:rStyle w:val="14"/>
      </w:rPr>
      <w:instrText xml:space="preserve">PAGE  </w:instrText>
    </w:r>
    <w:r>
      <w:fldChar w:fldCharType="separate"/>
    </w:r>
    <w:r>
      <w:rPr>
        <w:rStyle w:val="14"/>
      </w:rPr>
      <w:t>5</w:t>
    </w:r>
    <w:r>
      <w:fldChar w:fldCharType="end"/>
    </w:r>
  </w:p>
  <w:p w14:paraId="1780FD13">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EB43E9">
    <w:pPr>
      <w:pStyle w:val="8"/>
      <w:framePr w:wrap="around" w:vAnchor="text" w:hAnchor="margin" w:xAlign="center" w:y="1"/>
      <w:rPr>
        <w:rStyle w:val="14"/>
      </w:rPr>
    </w:pPr>
    <w:r>
      <w:fldChar w:fldCharType="begin"/>
    </w:r>
    <w:r>
      <w:rPr>
        <w:rStyle w:val="14"/>
      </w:rPr>
      <w:instrText xml:space="preserve">PAGE  </w:instrText>
    </w:r>
    <w:r>
      <w:fldChar w:fldCharType="separate"/>
    </w:r>
    <w:r>
      <w:rPr>
        <w:rStyle w:val="14"/>
      </w:rPr>
      <w:t>15</w:t>
    </w:r>
    <w:r>
      <w:fldChar w:fldCharType="end"/>
    </w:r>
  </w:p>
  <w:p w14:paraId="652915FE">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91A482"/>
    <w:multiLevelType w:val="singleLevel"/>
    <w:tmpl w:val="FC91A482"/>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mNWE4NzRhMTczNjJlZDE5ZTE5YTczN2QxMzcyMjAifQ=="/>
  </w:docVars>
  <w:rsids>
    <w:rsidRoot w:val="00100246"/>
    <w:rsid w:val="00003B03"/>
    <w:rsid w:val="000040E6"/>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279DF"/>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76B03"/>
    <w:rsid w:val="00581E1A"/>
    <w:rsid w:val="00591655"/>
    <w:rsid w:val="00591BEC"/>
    <w:rsid w:val="005940EA"/>
    <w:rsid w:val="00594448"/>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187B"/>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06F4"/>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278B0"/>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5BE2"/>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2F120AB"/>
    <w:rsid w:val="032B5196"/>
    <w:rsid w:val="03E272F9"/>
    <w:rsid w:val="046D08C7"/>
    <w:rsid w:val="04C3537C"/>
    <w:rsid w:val="06424B2E"/>
    <w:rsid w:val="069122EE"/>
    <w:rsid w:val="077A10F2"/>
    <w:rsid w:val="079004AC"/>
    <w:rsid w:val="0917788A"/>
    <w:rsid w:val="09242161"/>
    <w:rsid w:val="09322B7C"/>
    <w:rsid w:val="0BA148CA"/>
    <w:rsid w:val="0BB638B3"/>
    <w:rsid w:val="0C1165C4"/>
    <w:rsid w:val="0D6D544B"/>
    <w:rsid w:val="0DD136FE"/>
    <w:rsid w:val="0DFD7149"/>
    <w:rsid w:val="0F8E2C57"/>
    <w:rsid w:val="1059665E"/>
    <w:rsid w:val="10AC13BA"/>
    <w:rsid w:val="114C3693"/>
    <w:rsid w:val="12771E11"/>
    <w:rsid w:val="12D009A7"/>
    <w:rsid w:val="12F570F5"/>
    <w:rsid w:val="145A6C1B"/>
    <w:rsid w:val="14B73493"/>
    <w:rsid w:val="167A2FF9"/>
    <w:rsid w:val="18581C69"/>
    <w:rsid w:val="1AC1782A"/>
    <w:rsid w:val="1AEC0734"/>
    <w:rsid w:val="1D075DCF"/>
    <w:rsid w:val="1DEF20B0"/>
    <w:rsid w:val="1FC96413"/>
    <w:rsid w:val="214243FA"/>
    <w:rsid w:val="215D7D72"/>
    <w:rsid w:val="21AD613C"/>
    <w:rsid w:val="22467189"/>
    <w:rsid w:val="257A14F5"/>
    <w:rsid w:val="27196C26"/>
    <w:rsid w:val="27C45790"/>
    <w:rsid w:val="299E07AC"/>
    <w:rsid w:val="29EF086F"/>
    <w:rsid w:val="29F3375E"/>
    <w:rsid w:val="2B8D3660"/>
    <w:rsid w:val="2CA40D8B"/>
    <w:rsid w:val="2D4A3018"/>
    <w:rsid w:val="2E6C5B7E"/>
    <w:rsid w:val="2EFFE297"/>
    <w:rsid w:val="301437CA"/>
    <w:rsid w:val="34370073"/>
    <w:rsid w:val="34612EE6"/>
    <w:rsid w:val="349D1F0A"/>
    <w:rsid w:val="34DD0473"/>
    <w:rsid w:val="384D1667"/>
    <w:rsid w:val="38B3123C"/>
    <w:rsid w:val="38BF1C5F"/>
    <w:rsid w:val="3A4931D0"/>
    <w:rsid w:val="3AB31226"/>
    <w:rsid w:val="3B670122"/>
    <w:rsid w:val="3BB80364"/>
    <w:rsid w:val="3C684897"/>
    <w:rsid w:val="3F5E73BF"/>
    <w:rsid w:val="40AA6276"/>
    <w:rsid w:val="422B31CA"/>
    <w:rsid w:val="424E44BF"/>
    <w:rsid w:val="4310278F"/>
    <w:rsid w:val="431C3B09"/>
    <w:rsid w:val="433E495C"/>
    <w:rsid w:val="43813C01"/>
    <w:rsid w:val="45154A79"/>
    <w:rsid w:val="451B597D"/>
    <w:rsid w:val="482A25E9"/>
    <w:rsid w:val="48375B97"/>
    <w:rsid w:val="488364A0"/>
    <w:rsid w:val="489F2FD7"/>
    <w:rsid w:val="49326DCD"/>
    <w:rsid w:val="49C378A5"/>
    <w:rsid w:val="4A474A71"/>
    <w:rsid w:val="4AC27CB3"/>
    <w:rsid w:val="4BF72BEF"/>
    <w:rsid w:val="4E2A10F6"/>
    <w:rsid w:val="4FA90297"/>
    <w:rsid w:val="4FC41A43"/>
    <w:rsid w:val="50352CA5"/>
    <w:rsid w:val="518B35ED"/>
    <w:rsid w:val="51C4760A"/>
    <w:rsid w:val="51DB3C59"/>
    <w:rsid w:val="53D12F03"/>
    <w:rsid w:val="54737C5B"/>
    <w:rsid w:val="550C0952"/>
    <w:rsid w:val="55762E42"/>
    <w:rsid w:val="55DF72DF"/>
    <w:rsid w:val="575B54C4"/>
    <w:rsid w:val="57A7B272"/>
    <w:rsid w:val="58470068"/>
    <w:rsid w:val="585C6527"/>
    <w:rsid w:val="58747CAC"/>
    <w:rsid w:val="5A1720F9"/>
    <w:rsid w:val="5AC72160"/>
    <w:rsid w:val="5B4702DE"/>
    <w:rsid w:val="5B887B8E"/>
    <w:rsid w:val="5B9C37C2"/>
    <w:rsid w:val="5BA7C654"/>
    <w:rsid w:val="5C555AB7"/>
    <w:rsid w:val="5DF559DA"/>
    <w:rsid w:val="60A54109"/>
    <w:rsid w:val="61D01CDF"/>
    <w:rsid w:val="62AD1C7B"/>
    <w:rsid w:val="631F39C3"/>
    <w:rsid w:val="64C0607C"/>
    <w:rsid w:val="652E0AD4"/>
    <w:rsid w:val="65444892"/>
    <w:rsid w:val="65756C86"/>
    <w:rsid w:val="666F0501"/>
    <w:rsid w:val="669350E1"/>
    <w:rsid w:val="674D385B"/>
    <w:rsid w:val="676F09E1"/>
    <w:rsid w:val="690D33B0"/>
    <w:rsid w:val="6A531948"/>
    <w:rsid w:val="6CD20175"/>
    <w:rsid w:val="6DFD41FB"/>
    <w:rsid w:val="6E1C52A5"/>
    <w:rsid w:val="701D7ADB"/>
    <w:rsid w:val="70782DDA"/>
    <w:rsid w:val="71793A80"/>
    <w:rsid w:val="71CF3DD8"/>
    <w:rsid w:val="724F4528"/>
    <w:rsid w:val="729E27D4"/>
    <w:rsid w:val="7357290B"/>
    <w:rsid w:val="73923B7B"/>
    <w:rsid w:val="75124BA8"/>
    <w:rsid w:val="757A60AE"/>
    <w:rsid w:val="75952577"/>
    <w:rsid w:val="763D282F"/>
    <w:rsid w:val="76AE6010"/>
    <w:rsid w:val="77A6318B"/>
    <w:rsid w:val="781B6A42"/>
    <w:rsid w:val="79144124"/>
    <w:rsid w:val="798524E4"/>
    <w:rsid w:val="7A416D33"/>
    <w:rsid w:val="7A7F1C49"/>
    <w:rsid w:val="7AAD4924"/>
    <w:rsid w:val="7AF26BA5"/>
    <w:rsid w:val="7B5B7AE6"/>
    <w:rsid w:val="7B7B6628"/>
    <w:rsid w:val="7BA7071E"/>
    <w:rsid w:val="7BDF6DA8"/>
    <w:rsid w:val="7C7EDC1A"/>
    <w:rsid w:val="7CCED98D"/>
    <w:rsid w:val="7D08410F"/>
    <w:rsid w:val="7D673788"/>
    <w:rsid w:val="7DA616B1"/>
    <w:rsid w:val="7DB96DED"/>
    <w:rsid w:val="7DD3AD81"/>
    <w:rsid w:val="7F7FE70F"/>
    <w:rsid w:val="7FFF772F"/>
    <w:rsid w:val="95F35EF6"/>
    <w:rsid w:val="9BFFD860"/>
    <w:rsid w:val="AC5F73DE"/>
    <w:rsid w:val="B5DDD2C8"/>
    <w:rsid w:val="B9DFABD9"/>
    <w:rsid w:val="BC0D83FC"/>
    <w:rsid w:val="BF3BDEFB"/>
    <w:rsid w:val="C75F6086"/>
    <w:rsid w:val="C7F7ED2D"/>
    <w:rsid w:val="CFAF854E"/>
    <w:rsid w:val="D8D7928E"/>
    <w:rsid w:val="D8FE3136"/>
    <w:rsid w:val="DDDE60B7"/>
    <w:rsid w:val="DE9F6A22"/>
    <w:rsid w:val="DF4FCE6A"/>
    <w:rsid w:val="E4FED278"/>
    <w:rsid w:val="EDAA365C"/>
    <w:rsid w:val="EDADFC12"/>
    <w:rsid w:val="F2FD229B"/>
    <w:rsid w:val="F7F709E9"/>
    <w:rsid w:val="F7FF3690"/>
    <w:rsid w:val="F9BD3900"/>
    <w:rsid w:val="FC8B9876"/>
    <w:rsid w:val="FEDFF218"/>
    <w:rsid w:val="FEDFFF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00" w:beforeAutospacing="1" w:after="100" w:afterAutospacing="1"/>
      <w:outlineLvl w:val="1"/>
    </w:pPr>
    <w:rPr>
      <w:rFonts w:ascii="Cambria" w:hAnsi="Cambria" w:eastAsia="黑体"/>
      <w:b/>
      <w:bCs/>
      <w:kern w:val="0"/>
      <w:sz w:val="36"/>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200" w:firstLineChars="200"/>
    </w:pPr>
  </w:style>
  <w:style w:type="paragraph" w:styleId="4">
    <w:name w:val="annotation text"/>
    <w:basedOn w:val="1"/>
    <w:qFormat/>
    <w:uiPriority w:val="0"/>
    <w:pPr>
      <w:jc w:val="left"/>
    </w:pPr>
  </w:style>
  <w:style w:type="paragraph" w:styleId="5">
    <w:name w:val="Body Text Indent"/>
    <w:basedOn w:val="1"/>
    <w:qFormat/>
    <w:uiPriority w:val="0"/>
    <w:pPr>
      <w:ind w:firstLine="645"/>
    </w:pPr>
    <w:rPr>
      <w:rFonts w:ascii="仿宋_GB2312" w:hAnsi="Calibri" w:eastAsia="仿宋_GB2312"/>
      <w:sz w:val="32"/>
      <w:szCs w:val="32"/>
    </w:rPr>
  </w:style>
  <w:style w:type="paragraph" w:styleId="6">
    <w:name w:val="Date"/>
    <w:basedOn w:val="1"/>
    <w:next w:val="1"/>
    <w:qFormat/>
    <w:uiPriority w:val="0"/>
    <w:pPr>
      <w:ind w:left="100" w:leftChars="2500"/>
    </w:pPr>
  </w:style>
  <w:style w:type="paragraph" w:styleId="7">
    <w:name w:val="Balloon Text"/>
    <w:basedOn w:val="1"/>
    <w:semiHidden/>
    <w:qFormat/>
    <w:uiPriority w:val="0"/>
    <w:rPr>
      <w:sz w:val="18"/>
      <w:szCs w:val="18"/>
    </w:rPr>
  </w:style>
  <w:style w:type="paragraph" w:styleId="8">
    <w:name w:val="footer"/>
    <w:basedOn w:val="1"/>
    <w:link w:val="15"/>
    <w:qFormat/>
    <w:uiPriority w:val="0"/>
    <w:pPr>
      <w:tabs>
        <w:tab w:val="center" w:pos="4153"/>
        <w:tab w:val="right" w:pos="8306"/>
      </w:tabs>
      <w:snapToGrid w:val="0"/>
      <w:jc w:val="left"/>
    </w:pPr>
    <w:rPr>
      <w:sz w:val="18"/>
      <w:szCs w:val="18"/>
    </w:rPr>
  </w:style>
  <w:style w:type="paragraph" w:styleId="9">
    <w:name w:val="header"/>
    <w:basedOn w:val="1"/>
    <w:link w:val="16"/>
    <w:qFormat/>
    <w:uiPriority w:val="0"/>
    <w:pPr>
      <w:pBdr>
        <w:bottom w:val="single" w:color="auto" w:sz="6" w:space="1"/>
      </w:pBdr>
      <w:tabs>
        <w:tab w:val="center" w:pos="4153"/>
        <w:tab w:val="right" w:pos="8306"/>
      </w:tabs>
      <w:snapToGrid w:val="0"/>
      <w:jc w:val="center"/>
    </w:pPr>
    <w:rPr>
      <w:rFonts w:ascii="Calibri" w:hAnsi="Calibri"/>
      <w:sz w:val="18"/>
      <w:szCs w:val="18"/>
    </w:rPr>
  </w:style>
  <w:style w:type="paragraph" w:styleId="10">
    <w:name w:val="Normal (Web)"/>
    <w:basedOn w:val="1"/>
    <w:unhideWhenUsed/>
    <w:qFormat/>
    <w:uiPriority w:val="0"/>
    <w:pPr>
      <w:spacing w:before="100" w:beforeAutospacing="1" w:after="100" w:afterAutospacing="1"/>
      <w:ind w:right="238"/>
      <w:jc w:val="left"/>
    </w:pPr>
    <w:rPr>
      <w:b/>
      <w:kern w:val="0"/>
      <w:sz w:val="24"/>
      <w:szCs w:val="20"/>
    </w:rPr>
  </w:style>
  <w:style w:type="character" w:styleId="13">
    <w:name w:val="Strong"/>
    <w:qFormat/>
    <w:uiPriority w:val="0"/>
    <w:rPr>
      <w:b/>
    </w:rPr>
  </w:style>
  <w:style w:type="character" w:styleId="14">
    <w:name w:val="page number"/>
    <w:qFormat/>
    <w:uiPriority w:val="0"/>
  </w:style>
  <w:style w:type="character" w:customStyle="1" w:styleId="15">
    <w:name w:val="页脚 字符"/>
    <w:link w:val="8"/>
    <w:qFormat/>
    <w:uiPriority w:val="0"/>
    <w:rPr>
      <w:rFonts w:eastAsia="宋体"/>
      <w:kern w:val="2"/>
      <w:sz w:val="18"/>
      <w:szCs w:val="18"/>
      <w:lang w:val="en-US" w:eastAsia="zh-CN" w:bidi="ar-SA"/>
    </w:rPr>
  </w:style>
  <w:style w:type="character" w:customStyle="1" w:styleId="16">
    <w:name w:val="页眉 字符"/>
    <w:link w:val="9"/>
    <w:qFormat/>
    <w:uiPriority w:val="0"/>
    <w:rPr>
      <w:rFonts w:ascii="Calibri" w:hAnsi="Calibri" w:eastAsia="宋体"/>
      <w:kern w:val="2"/>
      <w:sz w:val="18"/>
      <w:szCs w:val="18"/>
      <w:lang w:val="en-US" w:eastAsia="zh-CN" w:bidi="ar-SA"/>
    </w:rPr>
  </w:style>
  <w:style w:type="paragraph" w:customStyle="1" w:styleId="17">
    <w:name w:val="Char Char Char Char Char Char Char"/>
    <w:basedOn w:val="1"/>
    <w:qFormat/>
    <w:uiPriority w:val="0"/>
    <w:rPr>
      <w:rFonts w:ascii="Tahoma" w:hAnsi="Tahoma"/>
      <w:sz w:val="24"/>
      <w:szCs w:val="20"/>
    </w:rPr>
  </w:style>
  <w:style w:type="paragraph" w:customStyle="1" w:styleId="18">
    <w:name w:val="Char1 Char Char Char"/>
    <w:basedOn w:val="1"/>
    <w:qFormat/>
    <w:uiPriority w:val="0"/>
    <w:pPr>
      <w:widowControl/>
      <w:spacing w:after="160" w:line="240" w:lineRule="exact"/>
      <w:jc w:val="left"/>
    </w:pPr>
    <w:rPr>
      <w:szCs w:val="20"/>
    </w:rPr>
  </w:style>
  <w:style w:type="paragraph" w:customStyle="1" w:styleId="19">
    <w:name w:val="Char"/>
    <w:basedOn w:val="1"/>
    <w:qFormat/>
    <w:uiPriority w:val="0"/>
    <w:rPr>
      <w:rFonts w:ascii="Tahoma" w:hAnsi="Tahoma"/>
      <w:sz w:val="24"/>
      <w:szCs w:val="20"/>
    </w:rPr>
  </w:style>
  <w:style w:type="paragraph" w:customStyle="1" w:styleId="20">
    <w:name w:val="Char Char3 Char Char"/>
    <w:basedOn w:val="1"/>
    <w:qFormat/>
    <w:uiPriority w:val="0"/>
    <w:rPr>
      <w:szCs w:val="21"/>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sz="1400" b="0"/>
              <a:t>收入决算</a:t>
            </a:r>
            <a:endParaRPr lang="zh-CN" altLang="en-US" sz="1400" b="0"/>
          </a:p>
        </c:rich>
      </c:tx>
      <c:layout/>
      <c:overlay val="0"/>
    </c:title>
    <c:autoTitleDeleted val="0"/>
    <c:plotArea>
      <c:layout/>
      <c:pieChart>
        <c:varyColors val="1"/>
        <c:ser>
          <c:idx val="0"/>
          <c:order val="0"/>
          <c:tx>
            <c:strRef>
              <c:f>Sheet1!$B$1</c:f>
              <c:strCache>
                <c:ptCount val="1"/>
                <c:pt idx="0">
                  <c:v>收入</c:v>
                </c:pt>
              </c:strCache>
            </c:strRef>
          </c:tx>
          <c:explosion val="0"/>
          <c:dPt>
            <c:idx val="0"/>
            <c:bubble3D val="0"/>
          </c:dPt>
          <c:dPt>
            <c:idx val="1"/>
            <c:bubble3D val="0"/>
          </c:dPt>
          <c:dPt>
            <c:idx val="2"/>
            <c:bubble3D val="0"/>
          </c:dPt>
          <c:dPt>
            <c:idx val="3"/>
            <c:bubble3D val="0"/>
          </c:dPt>
          <c:dPt>
            <c:idx val="4"/>
            <c:bubble3D val="0"/>
          </c:dPt>
          <c:dPt>
            <c:idx val="5"/>
            <c:bubble3D val="0"/>
          </c:dPt>
          <c:dLbls>
            <c:dLbl>
              <c:idx val="1"/>
              <c:delete val="1"/>
            </c:dLbl>
            <c:dLbl>
              <c:idx val="2"/>
              <c:delete val="1"/>
            </c:dLbl>
            <c:dLbl>
              <c:idx val="3"/>
              <c:delete val="1"/>
            </c:dLbl>
            <c:dLbl>
              <c:idx val="4"/>
              <c:delete val="1"/>
            </c:dLbl>
            <c:dLbl>
              <c:idx val="5"/>
              <c:layout>
                <c:manualLayout>
                  <c:x val="0.00146877581784108"/>
                  <c:y val="-0.0284259054473931"/>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numFmt formatCode="0.00%" sourceLinked="0"/>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ext>
            </c:extLst>
          </c:dLbls>
          <c:cat>
            <c:strRef>
              <c:f>Sheet1!$A$2:$A$7</c:f>
              <c:strCache>
                <c:ptCount val="6"/>
                <c:pt idx="0">
                  <c:v>财政拨款收入</c:v>
                </c:pt>
                <c:pt idx="1">
                  <c:v>上级补助收入</c:v>
                </c:pt>
                <c:pt idx="2">
                  <c:v>事业收入</c:v>
                </c:pt>
                <c:pt idx="3">
                  <c:v>经营收入</c:v>
                </c:pt>
                <c:pt idx="4">
                  <c:v>附属单位上缴</c:v>
                </c:pt>
                <c:pt idx="5">
                  <c:v>其他收入</c:v>
                </c:pt>
              </c:strCache>
            </c:strRef>
          </c:cat>
          <c:val>
            <c:numRef>
              <c:f>Sheet1!$B$2:$B$7</c:f>
              <c:numCache>
                <c:formatCode>General</c:formatCode>
                <c:ptCount val="6"/>
                <c:pt idx="0">
                  <c:v>1189.76</c:v>
                </c:pt>
                <c:pt idx="1">
                  <c:v>0</c:v>
                </c:pt>
                <c:pt idx="2">
                  <c:v>0</c:v>
                </c:pt>
                <c:pt idx="3">
                  <c:v>0</c:v>
                </c:pt>
                <c:pt idx="4">
                  <c:v>0</c:v>
                </c:pt>
                <c:pt idx="5">
                  <c:v>0.97</c:v>
                </c:pt>
              </c:numCache>
            </c:numRef>
          </c:val>
        </c:ser>
        <c:dLbls>
          <c:showLegendKey val="0"/>
          <c:showVal val="1"/>
          <c:showCatName val="0"/>
          <c:showSerName val="0"/>
          <c:showPercent val="0"/>
          <c:showBubbleSize val="0"/>
          <c:showLeaderLines val="1"/>
        </c:dLbls>
        <c:firstSliceAng val="0"/>
      </c:pieChart>
    </c:plotArea>
    <c:legend>
      <c:legendPos val="r"/>
      <c:legendEntry>
        <c:idx val="1"/>
        <c:delete val="1"/>
      </c:legendEntry>
      <c:legendEntry>
        <c:idx val="2"/>
        <c:delete val="1"/>
      </c:legendEntry>
      <c:legendEntry>
        <c:idx val="3"/>
        <c:delete val="1"/>
      </c:legendEntry>
      <c:legendEntry>
        <c:idx val="4"/>
        <c:delete val="1"/>
      </c:legendEntry>
      <c:layout>
        <c:manualLayout>
          <c:xMode val="edge"/>
          <c:yMode val="edge"/>
          <c:x val="0.738398615699229"/>
          <c:y val="0.294245977638396"/>
        </c:manualLayout>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0f1861e8-11bc-48c5-b696-5ac9bb455c7c}"/>
      </c:ext>
    </c:extLst>
  </c:chart>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solidFill>
                <a:latin typeface="+mn-lt"/>
                <a:ea typeface="+mn-ea"/>
                <a:cs typeface="+mn-cs"/>
              </a:defRPr>
            </a:pPr>
            <a:r>
              <a:rPr lang="zh-CN" altLang="en-US">
                <a:solidFill>
                  <a:schemeClr val="tx1"/>
                </a:solidFill>
              </a:rPr>
              <a:t>支出决算</a:t>
            </a:r>
            <a:endParaRPr lang="zh-CN" altLang="en-US">
              <a:solidFill>
                <a:schemeClr val="tx1"/>
              </a:solidFill>
            </a:endParaRPr>
          </a:p>
        </c:rich>
      </c:tx>
      <c:layout/>
      <c:overlay val="0"/>
      <c:spPr>
        <a:noFill/>
        <a:ln>
          <a:noFill/>
        </a:ln>
        <a:effectLst/>
      </c:spPr>
    </c:title>
    <c:autoTitleDeleted val="0"/>
    <c:plotArea>
      <c:layout/>
      <c:pieChart>
        <c:varyColors val="1"/>
        <c:ser>
          <c:idx val="0"/>
          <c:order val="0"/>
          <c:tx>
            <c:strRef>
              <c:f>Sheet0!$B$1</c:f>
              <c:strCache>
                <c:ptCount val="1"/>
                <c:pt idx="0">
                  <c:v>支出</c:v>
                </c:pt>
              </c:strCache>
            </c:strRef>
          </c:tx>
          <c:explosion val="0"/>
          <c:dPt>
            <c:idx val="0"/>
            <c:bubble3D val="0"/>
            <c:spPr>
              <a:solidFill>
                <a:srgbClr val="4F81BD"/>
              </a:solidFill>
              <a:ln w="19050">
                <a:solidFill>
                  <a:srgbClr val="FFFFFF"/>
                </a:solidFill>
              </a:ln>
              <a:effectLst/>
            </c:spPr>
          </c:dPt>
          <c:dPt>
            <c:idx val="1"/>
            <c:bubble3D val="0"/>
            <c:spPr>
              <a:solidFill>
                <a:srgbClr val="C0504D"/>
              </a:solidFill>
              <a:ln w="19050">
                <a:solidFill>
                  <a:srgbClr val="FFFFFF"/>
                </a:solidFill>
              </a:ln>
              <a:effectLst/>
            </c:spPr>
          </c:dPt>
          <c:dPt>
            <c:idx val="2"/>
            <c:bubble3D val="0"/>
            <c:spPr>
              <a:solidFill>
                <a:srgbClr val="9BBB59"/>
              </a:solidFill>
              <a:ln w="19050">
                <a:solidFill>
                  <a:srgbClr val="FFFFFF"/>
                </a:solidFill>
              </a:ln>
              <a:effectLst/>
            </c:spPr>
          </c:dPt>
          <c:dPt>
            <c:idx val="3"/>
            <c:bubble3D val="0"/>
            <c:spPr>
              <a:solidFill>
                <a:srgbClr val="8064A2"/>
              </a:solidFill>
              <a:ln w="19050">
                <a:solidFill>
                  <a:srgbClr val="FFFFFF"/>
                </a:solidFill>
              </a:ln>
              <a:effectLst/>
            </c:spPr>
          </c:dPt>
          <c:dPt>
            <c:idx val="4"/>
            <c:bubble3D val="0"/>
            <c:spPr>
              <a:solidFill>
                <a:srgbClr val="4BACC6"/>
              </a:solidFill>
              <a:ln w="19050">
                <a:solidFill>
                  <a:srgbClr val="FFFFFF"/>
                </a:solidFill>
              </a:ln>
              <a:effectLst/>
            </c:spPr>
          </c:dPt>
          <c:dLbls>
            <c:dLbl>
              <c:idx val="1"/>
              <c:delete val="1"/>
            </c:dLbl>
            <c:dLbl>
              <c:idx val="2"/>
              <c:delete val="1"/>
            </c:dLbl>
            <c:dLbl>
              <c:idx val="3"/>
              <c:delete val="1"/>
            </c:dLbl>
            <c:dLbl>
              <c:idx val="4"/>
              <c:delete val="1"/>
            </c:dLbl>
            <c:numFmt formatCode="0.00%" sourceLinked="0"/>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bestFit"/>
            <c:showLegendKey val="0"/>
            <c:showVal val="0"/>
            <c:showCatName val="0"/>
            <c:showSerName val="0"/>
            <c:showPercent val="1"/>
            <c:showBubbleSize val="0"/>
            <c:showLeaderLines val="1"/>
            <c:extLst>
              <c:ext xmlns:c15="http://schemas.microsoft.com/office/drawing/2012/chart" uri="{CE6537A1-D6FC-4f65-9D91-7224C49458BB}">
                <c15:layout/>
                <c15:showLeaderLines val="1"/>
                <c15:leaderLines>
                  <c:spPr>
                    <a:ln w="9525" cap="flat" cmpd="sng" algn="ctr">
                      <a:solidFill>
                        <a:srgbClr val="A6A6A6">
                          <a:lumMod val="35000"/>
                          <a:lumOff val="65000"/>
                        </a:srgbClr>
                      </a:solidFill>
                      <a:prstDash val="solid"/>
                      <a:round/>
                    </a:ln>
                    <a:effectLst/>
                  </c:spPr>
                </c15:leaderLines>
              </c:ext>
            </c:extLst>
          </c:dLbls>
          <c:cat>
            <c:strRef>
              <c:f>Sheet0!$A$2:$A$6</c:f>
              <c:strCache>
                <c:ptCount val="5"/>
                <c:pt idx="0">
                  <c:v>基本支出</c:v>
                </c:pt>
                <c:pt idx="1">
                  <c:v>项目支出</c:v>
                </c:pt>
                <c:pt idx="2">
                  <c:v>上缴上级支出</c:v>
                </c:pt>
                <c:pt idx="3">
                  <c:v>经营支出</c:v>
                </c:pt>
                <c:pt idx="4">
                  <c:v>对附属单位补助支出</c:v>
                </c:pt>
              </c:strCache>
            </c:strRef>
          </c:cat>
          <c:val>
            <c:numRef>
              <c:f>Sheet0!$B$2:$B$6</c:f>
              <c:numCache>
                <c:formatCode>General</c:formatCode>
                <c:ptCount val="5"/>
                <c:pt idx="0">
                  <c:v>1190.73</c:v>
                </c:pt>
                <c:pt idx="1">
                  <c:v>0</c:v>
                </c:pt>
                <c:pt idx="2">
                  <c:v>0</c:v>
                </c:pt>
                <c:pt idx="3">
                  <c:v>0</c:v>
                </c:pt>
                <c:pt idx="4">
                  <c:v>0</c:v>
                </c:pt>
              </c:numCache>
            </c:numRef>
          </c:val>
        </c:ser>
        <c:dLbls>
          <c:showLegendKey val="0"/>
          <c:showVal val="0"/>
          <c:showCatName val="0"/>
          <c:showSerName val="0"/>
          <c:showPercent val="1"/>
          <c:showBubbleSize val="0"/>
          <c:showLeaderLines val="1"/>
        </c:dLbls>
        <c:firstSliceAng val="0"/>
      </c:pieChart>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1"/>
        <c:delete val="1"/>
      </c:legendEntry>
      <c:legendEntry>
        <c:idx val="2"/>
        <c:delete val="1"/>
      </c:legendEntry>
      <c:legendEntry>
        <c:idx val="3"/>
        <c:delete val="1"/>
      </c:legendEntry>
      <c:legendEntry>
        <c:idx val="4"/>
        <c:delete val="1"/>
      </c:legendEntry>
      <c:layout>
        <c:manualLayout>
          <c:xMode val="edge"/>
          <c:yMode val="edge"/>
          <c:x val="0.424375"/>
          <c:y val="0.895138888888889"/>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
    <c:plotVisOnly val="1"/>
    <c:dispBlanksAs val="gap"/>
    <c:showDLblsOverMax val="0"/>
    <c:extLst>
      <c:ext uri="{0b15fc19-7d7d-44ad-8c2d-2c3a37ce22c3}">
        <chartProps xmlns="https://web.wps.cn/et/2018/main" chartId="{e8546639-f737-466e-8168-b54041c963a5}"/>
      </c:ext>
    </c:extLst>
  </c:chart>
  <c:spPr>
    <a:ln w="9525" cap="flat" cmpd="sng" algn="ctr">
      <a:solidFill>
        <a:schemeClr val="bg1">
          <a:lumMod val="50000"/>
        </a:scheme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2717</Words>
  <Characters>3066</Characters>
  <Lines>22</Lines>
  <Paragraphs>6</Paragraphs>
  <TotalTime>20</TotalTime>
  <ScaleCrop>false</ScaleCrop>
  <LinksUpToDate>false</LinksUpToDate>
  <CharactersWithSpaces>3088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2017-07-11T15:16:00Z</dcterms:created>
  <dc:creator>常程</dc:creator>
  <cp:lastModifiedBy>聪聪</cp:lastModifiedBy>
  <cp:lastPrinted>2025-09-09T03:26:00Z</cp:lastPrinted>
  <dcterms:modified xsi:type="dcterms:W3CDTF">2025-09-09T08:56:44Z</dcterms:modified>
  <dc:title>北京市财政局关于做好向市人大常委会报送2015年度市级部门决算（草案）</dc:title>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A1FBEDC2B4194141BA301CD49B70C174_13</vt:lpwstr>
  </property>
  <property fmtid="{D5CDD505-2E9C-101B-9397-08002B2CF9AE}" pid="4" name="KSOTemplateDocerSaveRecord">
    <vt:lpwstr>eyJoZGlkIjoiY2NkNDE3Njg2ODg3OTRiZGRhYWY0YmE2MjMyNjk4NTYiLCJ1c2VySWQiOiI3MTAzOTcyMTQifQ==</vt:lpwstr>
  </property>
</Properties>
</file>